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BE37F2" w:rsidRPr="00BE37F2" w14:paraId="69808910" w14:textId="77777777" w:rsidTr="00E54322">
        <w:trPr>
          <w:trHeight w:val="737"/>
        </w:trPr>
        <w:tc>
          <w:tcPr>
            <w:tcW w:w="1250" w:type="pct"/>
            <w:shd w:val="clear" w:color="auto" w:fill="auto"/>
            <w:vAlign w:val="center"/>
          </w:tcPr>
          <w:p w14:paraId="1EB700ED" w14:textId="77777777" w:rsidR="002D11B8" w:rsidRPr="00BE37F2" w:rsidRDefault="003D6AC2" w:rsidP="00E54322">
            <w:pPr>
              <w:widowControl w:val="0"/>
              <w:autoSpaceDE w:val="0"/>
              <w:autoSpaceDN w:val="0"/>
              <w:adjustRightInd w:val="0"/>
              <w:rPr>
                <w:rFonts w:ascii="Arial Narrow" w:hAnsi="Arial Narrow" w:cs="Calibri"/>
                <w:szCs w:val="20"/>
              </w:rPr>
            </w:pPr>
            <w:r w:rsidRPr="00BE37F2">
              <w:rPr>
                <w:rFonts w:ascii="Arial Narrow" w:hAnsi="Arial Narrow" w:cs="Calibri"/>
                <w:b/>
                <w:bCs/>
                <w:szCs w:val="20"/>
              </w:rPr>
              <w:t>MINISTERS’ DEPUTIES</w:t>
            </w:r>
          </w:p>
        </w:tc>
        <w:tc>
          <w:tcPr>
            <w:tcW w:w="1250" w:type="pct"/>
            <w:shd w:val="clear" w:color="auto" w:fill="auto"/>
            <w:vAlign w:val="center"/>
          </w:tcPr>
          <w:p w14:paraId="6DAB376C" w14:textId="77777777" w:rsidR="002D11B8" w:rsidRPr="00BE37F2" w:rsidRDefault="003D6AC2" w:rsidP="00E54322">
            <w:pPr>
              <w:ind w:left="-108"/>
              <w:jc w:val="center"/>
              <w:rPr>
                <w:rFonts w:ascii="Arial Narrow" w:hAnsi="Arial Narrow" w:cs="Arial"/>
                <w:szCs w:val="20"/>
              </w:rPr>
            </w:pPr>
            <w:r w:rsidRPr="00BE37F2">
              <w:rPr>
                <w:rFonts w:ascii="Arial Narrow" w:hAnsi="Arial Narrow" w:cs="Calibri"/>
                <w:szCs w:val="20"/>
              </w:rPr>
              <w:t>CM Documents</w:t>
            </w:r>
          </w:p>
        </w:tc>
        <w:tc>
          <w:tcPr>
            <w:tcW w:w="1250" w:type="pct"/>
            <w:shd w:val="clear" w:color="auto" w:fill="auto"/>
            <w:vAlign w:val="center"/>
          </w:tcPr>
          <w:p w14:paraId="5C7A1455" w14:textId="50D0986C" w:rsidR="002D11B8" w:rsidRPr="00CE05BE" w:rsidRDefault="00CE05BE" w:rsidP="00E0341E">
            <w:pPr>
              <w:ind w:left="-40"/>
              <w:jc w:val="center"/>
              <w:rPr>
                <w:rFonts w:ascii="Arial Narrow" w:hAnsi="Arial Narrow" w:cs="Arial"/>
                <w:b/>
                <w:sz w:val="24"/>
                <w:szCs w:val="24"/>
              </w:rPr>
            </w:pPr>
            <w:proofErr w:type="gramStart"/>
            <w:r w:rsidRPr="00CE05BE">
              <w:rPr>
                <w:rFonts w:ascii="Arial Narrow" w:hAnsi="Arial Narrow" w:cs="Calibri"/>
                <w:b/>
                <w:sz w:val="24"/>
                <w:szCs w:val="24"/>
              </w:rPr>
              <w:t>CM(</w:t>
            </w:r>
            <w:proofErr w:type="gramEnd"/>
            <w:r w:rsidRPr="00CE05BE">
              <w:rPr>
                <w:rFonts w:ascii="Arial Narrow" w:hAnsi="Arial Narrow" w:cs="Calibri"/>
                <w:b/>
                <w:sz w:val="24"/>
                <w:szCs w:val="24"/>
              </w:rPr>
              <w:t>2025)18-add1</w:t>
            </w:r>
          </w:p>
        </w:tc>
        <w:tc>
          <w:tcPr>
            <w:tcW w:w="1250" w:type="pct"/>
            <w:shd w:val="clear" w:color="auto" w:fill="auto"/>
            <w:vAlign w:val="center"/>
          </w:tcPr>
          <w:p w14:paraId="526AE282" w14:textId="75BDCFA4" w:rsidR="002D11B8" w:rsidRPr="00BE37F2" w:rsidRDefault="00CE05BE" w:rsidP="00E0341E">
            <w:pPr>
              <w:jc w:val="right"/>
              <w:rPr>
                <w:rFonts w:ascii="Arial Narrow" w:hAnsi="Arial Narrow" w:cs="Arial"/>
                <w:sz w:val="16"/>
                <w:szCs w:val="16"/>
              </w:rPr>
            </w:pPr>
            <w:r>
              <w:rPr>
                <w:rFonts w:ascii="Arial Narrow" w:hAnsi="Arial Narrow" w:cs="Calibri"/>
                <w:sz w:val="16"/>
                <w:szCs w:val="16"/>
              </w:rPr>
              <w:t>31</w:t>
            </w:r>
            <w:r w:rsidR="00D6606F">
              <w:rPr>
                <w:rFonts w:ascii="Arial Narrow" w:hAnsi="Arial Narrow" w:cs="Calibri"/>
                <w:sz w:val="16"/>
                <w:szCs w:val="16"/>
              </w:rPr>
              <w:t xml:space="preserve"> January </w:t>
            </w:r>
            <w:r w:rsidR="00FF2F66" w:rsidRPr="00BE37F2">
              <w:rPr>
                <w:rFonts w:ascii="Arial Narrow" w:hAnsi="Arial Narrow" w:cs="Calibri"/>
                <w:sz w:val="16"/>
                <w:szCs w:val="16"/>
              </w:rPr>
              <w:t>202</w:t>
            </w:r>
            <w:r w:rsidR="008B0276" w:rsidRPr="00BE37F2">
              <w:rPr>
                <w:rFonts w:ascii="Arial Narrow" w:hAnsi="Arial Narrow" w:cs="Calibri"/>
                <w:sz w:val="16"/>
                <w:szCs w:val="16"/>
              </w:rPr>
              <w:t>5</w:t>
            </w:r>
            <w:r w:rsidR="00853C90" w:rsidRPr="00BE37F2">
              <w:rPr>
                <w:rStyle w:val="FootnoteReference"/>
                <w:rFonts w:ascii="Arial Narrow" w:hAnsi="Arial Narrow" w:cs="Calibri"/>
                <w:sz w:val="16"/>
                <w:szCs w:val="16"/>
              </w:rPr>
              <w:footnoteReference w:id="1"/>
            </w:r>
          </w:p>
        </w:tc>
      </w:tr>
    </w:tbl>
    <w:p w14:paraId="031723FA" w14:textId="77777777" w:rsidR="00D554E6" w:rsidRPr="00BE37F2"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BE37F2" w:rsidRPr="00BE37F2" w14:paraId="3CD20D39" w14:textId="77777777" w:rsidTr="00E54322">
        <w:tc>
          <w:tcPr>
            <w:tcW w:w="9399" w:type="dxa"/>
            <w:shd w:val="clear" w:color="auto" w:fill="auto"/>
            <w:tcMar>
              <w:top w:w="227" w:type="dxa"/>
              <w:bottom w:w="227" w:type="dxa"/>
            </w:tcMar>
            <w:vAlign w:val="center"/>
          </w:tcPr>
          <w:p w14:paraId="29CBD649" w14:textId="4C7E01AB" w:rsidR="00E24C57" w:rsidRPr="00BE37F2" w:rsidRDefault="00F43459" w:rsidP="00E54322">
            <w:pPr>
              <w:widowControl w:val="0"/>
              <w:autoSpaceDE w:val="0"/>
              <w:autoSpaceDN w:val="0"/>
              <w:adjustRightInd w:val="0"/>
              <w:rPr>
                <w:rFonts w:ascii="Arial Narrow" w:hAnsi="Arial Narrow" w:cs="Calibri"/>
                <w:b/>
                <w:bCs/>
                <w:sz w:val="32"/>
                <w:szCs w:val="32"/>
              </w:rPr>
            </w:pPr>
            <w:r>
              <w:rPr>
                <w:rFonts w:ascii="Arial Narrow" w:hAnsi="Arial Narrow" w:cs="Calibri"/>
                <w:b/>
                <w:bCs/>
                <w:sz w:val="32"/>
                <w:szCs w:val="32"/>
              </w:rPr>
              <w:t>15</w:t>
            </w:r>
            <w:r w:rsidR="006B27E3">
              <w:rPr>
                <w:rFonts w:ascii="Arial Narrow" w:hAnsi="Arial Narrow" w:cs="Calibri"/>
                <w:b/>
                <w:bCs/>
                <w:sz w:val="32"/>
                <w:szCs w:val="32"/>
              </w:rPr>
              <w:t>20</w:t>
            </w:r>
            <w:r w:rsidR="00710022">
              <w:rPr>
                <w:rFonts w:ascii="Arial Narrow" w:hAnsi="Arial Narrow" w:cs="Calibri"/>
                <w:b/>
                <w:bCs/>
                <w:sz w:val="32"/>
                <w:szCs w:val="32"/>
                <w:vertAlign w:val="superscript"/>
              </w:rPr>
              <w:t>th</w:t>
            </w:r>
            <w:r w:rsidR="003D6AC2" w:rsidRPr="00BE37F2">
              <w:rPr>
                <w:rFonts w:ascii="Arial Narrow" w:hAnsi="Arial Narrow" w:cs="Calibri"/>
                <w:b/>
                <w:bCs/>
                <w:sz w:val="32"/>
                <w:szCs w:val="32"/>
              </w:rPr>
              <w:t xml:space="preserve"> meeting, </w:t>
            </w:r>
            <w:r w:rsidR="00710022">
              <w:rPr>
                <w:rFonts w:ascii="Arial Narrow" w:hAnsi="Arial Narrow" w:cs="Calibri"/>
                <w:b/>
                <w:bCs/>
                <w:sz w:val="32"/>
                <w:szCs w:val="32"/>
              </w:rPr>
              <w:t>26 February</w:t>
            </w:r>
            <w:r>
              <w:rPr>
                <w:rFonts w:ascii="Arial Narrow" w:hAnsi="Arial Narrow" w:cs="Calibri"/>
                <w:b/>
                <w:bCs/>
                <w:sz w:val="32"/>
                <w:szCs w:val="32"/>
              </w:rPr>
              <w:t xml:space="preserve"> 2025</w:t>
            </w:r>
          </w:p>
          <w:p w14:paraId="0704C677" w14:textId="308B0D4D" w:rsidR="005D193F" w:rsidRDefault="00F43459" w:rsidP="00E54322">
            <w:pPr>
              <w:rPr>
                <w:rFonts w:ascii="Arial Narrow" w:hAnsi="Arial Narrow" w:cs="Calibri"/>
                <w:sz w:val="22"/>
              </w:rPr>
            </w:pPr>
            <w:r>
              <w:rPr>
                <w:rFonts w:ascii="Arial Narrow" w:hAnsi="Arial Narrow" w:cs="Calibri"/>
                <w:sz w:val="22"/>
              </w:rPr>
              <w:t>7 Education and Culture</w:t>
            </w:r>
          </w:p>
          <w:p w14:paraId="3E8503E5" w14:textId="77777777" w:rsidR="00A27BCA" w:rsidRPr="00BE37F2" w:rsidRDefault="00A27BCA" w:rsidP="00E54322">
            <w:pPr>
              <w:rPr>
                <w:rFonts w:ascii="Arial Narrow" w:hAnsi="Arial Narrow" w:cs="Calibri"/>
                <w:i/>
                <w:szCs w:val="20"/>
              </w:rPr>
            </w:pPr>
          </w:p>
          <w:p w14:paraId="213B8281" w14:textId="2D53B7E0" w:rsidR="00DD6139" w:rsidRPr="00BE37F2" w:rsidRDefault="00F43459" w:rsidP="00DD6139">
            <w:pPr>
              <w:rPr>
                <w:rFonts w:ascii="Arial Narrow" w:hAnsi="Arial Narrow" w:cs="Calibri"/>
                <w:b/>
                <w:sz w:val="28"/>
                <w:szCs w:val="28"/>
              </w:rPr>
            </w:pPr>
            <w:r>
              <w:rPr>
                <w:rFonts w:ascii="Arial Narrow" w:hAnsi="Arial Narrow" w:cs="Calibri"/>
                <w:b/>
                <w:sz w:val="28"/>
                <w:szCs w:val="28"/>
              </w:rPr>
              <w:t xml:space="preserve">7.1 </w:t>
            </w:r>
            <w:r w:rsidR="00DD6139" w:rsidRPr="00BE37F2">
              <w:rPr>
                <w:rFonts w:ascii="Arial Narrow" w:hAnsi="Arial Narrow" w:cs="Calibri"/>
                <w:b/>
                <w:sz w:val="28"/>
                <w:szCs w:val="28"/>
              </w:rPr>
              <w:t>Steering Committee for Culture, Heritage and Landscape (CDCPP)</w:t>
            </w:r>
          </w:p>
          <w:p w14:paraId="18031B5F" w14:textId="21216935" w:rsidR="000A307B" w:rsidRPr="00BE37F2" w:rsidRDefault="00CE60E3" w:rsidP="00E54322">
            <w:pPr>
              <w:rPr>
                <w:rFonts w:ascii="Arial Narrow" w:hAnsi="Arial Narrow" w:cs="Calibri"/>
                <w:sz w:val="22"/>
              </w:rPr>
            </w:pPr>
            <w:r>
              <w:rPr>
                <w:rFonts w:ascii="Arial Narrow" w:hAnsi="Arial Narrow" w:cs="Calibri"/>
                <w:sz w:val="22"/>
              </w:rPr>
              <w:t xml:space="preserve">b. </w:t>
            </w:r>
            <w:r w:rsidRPr="00CE60E3">
              <w:rPr>
                <w:rFonts w:ascii="Arial Narrow" w:hAnsi="Arial Narrow" w:cs="Calibri"/>
                <w:bCs/>
                <w:sz w:val="22"/>
              </w:rPr>
              <w:t>Draft</w:t>
            </w:r>
            <w:r>
              <w:rPr>
                <w:rFonts w:ascii="Arial Narrow" w:hAnsi="Arial Narrow" w:cs="Calibri"/>
                <w:bCs/>
                <w:sz w:val="22"/>
              </w:rPr>
              <w:t xml:space="preserve"> Council of Europe</w:t>
            </w:r>
            <w:r w:rsidRPr="00CE60E3">
              <w:rPr>
                <w:rFonts w:ascii="Arial Narrow" w:hAnsi="Arial Narrow" w:cs="Calibri"/>
                <w:bCs/>
                <w:sz w:val="22"/>
              </w:rPr>
              <w:t xml:space="preserve"> Convention on the </w:t>
            </w:r>
            <w:r w:rsidR="002B07CA">
              <w:rPr>
                <w:rFonts w:ascii="Arial Narrow" w:hAnsi="Arial Narrow" w:cs="Calibri"/>
                <w:bCs/>
                <w:sz w:val="22"/>
              </w:rPr>
              <w:t>C</w:t>
            </w:r>
            <w:r w:rsidRPr="00CE60E3">
              <w:rPr>
                <w:rFonts w:ascii="Arial Narrow" w:hAnsi="Arial Narrow" w:cs="Calibri"/>
                <w:bCs/>
                <w:sz w:val="22"/>
              </w:rPr>
              <w:t>o-</w:t>
            </w:r>
            <w:r w:rsidR="002B07CA">
              <w:rPr>
                <w:rFonts w:ascii="Arial Narrow" w:hAnsi="Arial Narrow" w:cs="Calibri"/>
                <w:bCs/>
                <w:sz w:val="22"/>
              </w:rPr>
              <w:t>P</w:t>
            </w:r>
            <w:r w:rsidRPr="00CE60E3">
              <w:rPr>
                <w:rFonts w:ascii="Arial Narrow" w:hAnsi="Arial Narrow" w:cs="Calibri"/>
                <w:bCs/>
                <w:sz w:val="22"/>
              </w:rPr>
              <w:t xml:space="preserve">roduction of </w:t>
            </w:r>
            <w:r w:rsidR="002B07CA">
              <w:rPr>
                <w:rFonts w:ascii="Arial Narrow" w:hAnsi="Arial Narrow" w:cs="Calibri"/>
                <w:bCs/>
                <w:sz w:val="22"/>
              </w:rPr>
              <w:t>A</w:t>
            </w:r>
            <w:r w:rsidRPr="00CE60E3">
              <w:rPr>
                <w:rFonts w:ascii="Arial Narrow" w:hAnsi="Arial Narrow" w:cs="Calibri"/>
                <w:bCs/>
                <w:sz w:val="22"/>
              </w:rPr>
              <w:t xml:space="preserve">udiovisual </w:t>
            </w:r>
            <w:r w:rsidR="002B07CA">
              <w:rPr>
                <w:rFonts w:ascii="Arial Narrow" w:hAnsi="Arial Narrow" w:cs="Calibri"/>
                <w:bCs/>
                <w:sz w:val="22"/>
              </w:rPr>
              <w:t>W</w:t>
            </w:r>
            <w:r w:rsidRPr="00CE60E3">
              <w:rPr>
                <w:rFonts w:ascii="Arial Narrow" w:hAnsi="Arial Narrow" w:cs="Calibri"/>
                <w:bCs/>
                <w:sz w:val="22"/>
              </w:rPr>
              <w:t xml:space="preserve">orks in the </w:t>
            </w:r>
            <w:r w:rsidR="002B07CA">
              <w:rPr>
                <w:rFonts w:ascii="Arial Narrow" w:hAnsi="Arial Narrow" w:cs="Calibri"/>
                <w:bCs/>
                <w:sz w:val="22"/>
              </w:rPr>
              <w:t>F</w:t>
            </w:r>
            <w:r w:rsidRPr="00CE60E3">
              <w:rPr>
                <w:rFonts w:ascii="Arial Narrow" w:hAnsi="Arial Narrow" w:cs="Calibri"/>
                <w:bCs/>
                <w:sz w:val="22"/>
              </w:rPr>
              <w:t xml:space="preserve">orm of </w:t>
            </w:r>
            <w:r w:rsidR="002B07CA">
              <w:rPr>
                <w:rFonts w:ascii="Arial Narrow" w:hAnsi="Arial Narrow" w:cs="Calibri"/>
                <w:bCs/>
                <w:sz w:val="22"/>
              </w:rPr>
              <w:t>S</w:t>
            </w:r>
            <w:r w:rsidRPr="00CE60E3">
              <w:rPr>
                <w:rFonts w:ascii="Arial Narrow" w:hAnsi="Arial Narrow" w:cs="Calibri"/>
                <w:bCs/>
                <w:sz w:val="22"/>
              </w:rPr>
              <w:t>eries</w:t>
            </w:r>
          </w:p>
          <w:p w14:paraId="4DD48D44" w14:textId="77777777" w:rsidR="00DD6139" w:rsidRPr="00BE37F2" w:rsidRDefault="00DD6139" w:rsidP="00E54322">
            <w:pPr>
              <w:rPr>
                <w:rFonts w:ascii="Arial Narrow" w:hAnsi="Arial Narrow" w:cs="Calibri"/>
                <w:sz w:val="22"/>
              </w:rPr>
            </w:pPr>
          </w:p>
          <w:p w14:paraId="4A3DB83E" w14:textId="6EA73561" w:rsidR="00E457C3" w:rsidRPr="00BE37F2" w:rsidRDefault="000A307B" w:rsidP="00E0341E">
            <w:pPr>
              <w:rPr>
                <w:rFonts w:ascii="Arial Narrow" w:hAnsi="Arial Narrow" w:cs="Calibri"/>
                <w:b/>
                <w:szCs w:val="20"/>
              </w:rPr>
            </w:pPr>
            <w:r w:rsidRPr="00BE37F2">
              <w:rPr>
                <w:rFonts w:ascii="Arial Narrow" w:hAnsi="Arial Narrow" w:cs="Calibri"/>
                <w:b/>
                <w:szCs w:val="20"/>
              </w:rPr>
              <w:t>Item to be considered by the GR-</w:t>
            </w:r>
            <w:r w:rsidR="00DD6139" w:rsidRPr="00BE37F2">
              <w:rPr>
                <w:rFonts w:ascii="Arial Narrow" w:hAnsi="Arial Narrow" w:cs="Calibri"/>
                <w:b/>
                <w:szCs w:val="20"/>
              </w:rPr>
              <w:t>C</w:t>
            </w:r>
            <w:r w:rsidRPr="00BE37F2">
              <w:rPr>
                <w:rFonts w:ascii="Arial Narrow" w:hAnsi="Arial Narrow" w:cs="Calibri"/>
                <w:b/>
                <w:szCs w:val="20"/>
              </w:rPr>
              <w:t xml:space="preserve"> at its meeting on</w:t>
            </w:r>
            <w:r w:rsidR="002B07CA">
              <w:rPr>
                <w:rFonts w:ascii="Arial Narrow" w:hAnsi="Arial Narrow" w:cs="Calibri"/>
                <w:b/>
                <w:szCs w:val="20"/>
              </w:rPr>
              <w:t xml:space="preserve"> 25 February 2025</w:t>
            </w:r>
          </w:p>
        </w:tc>
      </w:tr>
    </w:tbl>
    <w:p w14:paraId="6152105B" w14:textId="77777777" w:rsidR="00D41C91" w:rsidRPr="00BE37F2" w:rsidRDefault="00D41C91" w:rsidP="0037200F">
      <w:pPr>
        <w:rPr>
          <w:rFonts w:eastAsia="Times New Roman"/>
          <w:szCs w:val="24"/>
        </w:rPr>
      </w:pPr>
      <w:r w:rsidRPr="00BE37F2">
        <w:rPr>
          <w:rFonts w:eastAsia="Times New Roman"/>
          <w:szCs w:val="24"/>
        </w:rPr>
        <w:t xml:space="preserve"> </w:t>
      </w:r>
    </w:p>
    <w:p w14:paraId="244A6C4B" w14:textId="77777777" w:rsidR="00E54322" w:rsidRPr="00BE37F2" w:rsidRDefault="00E54322" w:rsidP="0037200F">
      <w:pPr>
        <w:rPr>
          <w:rFonts w:eastAsia="Times New Roman"/>
          <w:szCs w:val="24"/>
        </w:rPr>
      </w:pPr>
      <w:r w:rsidRPr="00BE37F2">
        <w:rPr>
          <w:rFonts w:eastAsia="Times New Roman"/>
          <w:szCs w:val="24"/>
        </w:rPr>
        <w:t xml:space="preserve"> </w:t>
      </w:r>
    </w:p>
    <w:p w14:paraId="20B13FAB" w14:textId="0F3E58E2" w:rsidR="00CE60E3" w:rsidRPr="00F43459" w:rsidRDefault="00CE60E3" w:rsidP="006A464A">
      <w:pPr>
        <w:pStyle w:val="Heading1"/>
        <w:ind w:left="0"/>
        <w:jc w:val="both"/>
        <w:rPr>
          <w:lang w:val="en-GB"/>
        </w:rPr>
      </w:pPr>
      <w:bookmarkStart w:id="0" w:name="_Ref114234761"/>
      <w:r w:rsidRPr="006B464B">
        <w:rPr>
          <w:lang w:val="en-GB"/>
        </w:rPr>
        <w:t>Preamble</w:t>
      </w:r>
      <w:bookmarkEnd w:id="0"/>
      <w:r w:rsidRPr="006B464B">
        <w:rPr>
          <w:lang w:val="en-GB"/>
        </w:rPr>
        <w:br/>
      </w:r>
      <w:r w:rsidR="00F43459" w:rsidRPr="00F43459">
        <w:rPr>
          <w:lang w:val="en-GB"/>
        </w:rPr>
        <w:br/>
      </w:r>
      <w:r w:rsidRPr="00F43459">
        <w:rPr>
          <w:b w:val="0"/>
          <w:bCs w:val="0"/>
          <w:lang w:val="en-GB"/>
        </w:rPr>
        <w:t>The member States of the Council of Europe and other States Parties to the European Cultural Convention (ETS No. 18), signatory hereto,</w:t>
      </w:r>
    </w:p>
    <w:p w14:paraId="4AE4431C" w14:textId="6F35FEB8" w:rsidR="00CE60E3" w:rsidRPr="00160EBD" w:rsidRDefault="006A464A" w:rsidP="006A464A">
      <w:pPr>
        <w:adjustRightInd w:val="0"/>
        <w:rPr>
          <w:szCs w:val="20"/>
        </w:rPr>
      </w:pPr>
      <w:r>
        <w:rPr>
          <w:szCs w:val="20"/>
        </w:rPr>
        <w:br/>
      </w:r>
      <w:r w:rsidR="00CE60E3" w:rsidRPr="00160EBD">
        <w:rPr>
          <w:szCs w:val="20"/>
        </w:rPr>
        <w:t xml:space="preserve">Considering that the aim of the Council of Europe is to achieve greater unity between its members in order, in particular, to safeguard and promote the ideals and principles which form their common </w:t>
      </w:r>
      <w:proofErr w:type="gramStart"/>
      <w:r w:rsidR="00CE60E3" w:rsidRPr="00160EBD">
        <w:rPr>
          <w:szCs w:val="20"/>
        </w:rPr>
        <w:t>heritage;</w:t>
      </w:r>
      <w:proofErr w:type="gramEnd"/>
    </w:p>
    <w:p w14:paraId="31EF67A8" w14:textId="0579BA8E" w:rsidR="00CE60E3" w:rsidRPr="00160EBD" w:rsidRDefault="006A464A" w:rsidP="006A464A">
      <w:pPr>
        <w:adjustRightInd w:val="0"/>
        <w:rPr>
          <w:szCs w:val="20"/>
        </w:rPr>
      </w:pPr>
      <w:r>
        <w:rPr>
          <w:szCs w:val="20"/>
        </w:rPr>
        <w:br/>
      </w:r>
      <w:r w:rsidR="00CE60E3" w:rsidRPr="00160EBD">
        <w:rPr>
          <w:szCs w:val="20"/>
        </w:rPr>
        <w:t xml:space="preserve">Considering that freedom of creation and freedom of expression constitute fundamental elements of these </w:t>
      </w:r>
      <w:proofErr w:type="gramStart"/>
      <w:r w:rsidR="00CE60E3" w:rsidRPr="00160EBD">
        <w:rPr>
          <w:szCs w:val="20"/>
        </w:rPr>
        <w:t>principles;</w:t>
      </w:r>
      <w:proofErr w:type="gramEnd"/>
    </w:p>
    <w:p w14:paraId="486873BE" w14:textId="29F687AB" w:rsidR="00CE60E3" w:rsidRPr="00160EBD" w:rsidRDefault="006A464A" w:rsidP="006A464A">
      <w:pPr>
        <w:adjustRightInd w:val="0"/>
        <w:ind w:right="115"/>
        <w:rPr>
          <w:szCs w:val="20"/>
        </w:rPr>
      </w:pPr>
      <w:r>
        <w:rPr>
          <w:szCs w:val="20"/>
        </w:rPr>
        <w:br/>
      </w:r>
      <w:r w:rsidR="00CE60E3" w:rsidRPr="00160EBD">
        <w:rPr>
          <w:szCs w:val="20"/>
        </w:rPr>
        <w:t xml:space="preserve">Considering that fostering the cultural diversity of the various European countries is one of the aims of the European Cultural </w:t>
      </w:r>
      <w:proofErr w:type="gramStart"/>
      <w:r w:rsidR="00CE60E3" w:rsidRPr="00160EBD">
        <w:rPr>
          <w:szCs w:val="20"/>
        </w:rPr>
        <w:t>Convention;</w:t>
      </w:r>
      <w:proofErr w:type="gramEnd"/>
    </w:p>
    <w:p w14:paraId="6A2D2673" w14:textId="71BF79CB" w:rsidR="00CE60E3" w:rsidRPr="00160EBD" w:rsidRDefault="006A464A" w:rsidP="006A464A">
      <w:pPr>
        <w:adjustRightInd w:val="0"/>
        <w:ind w:right="115"/>
        <w:rPr>
          <w:szCs w:val="20"/>
        </w:rPr>
      </w:pPr>
      <w:r>
        <w:rPr>
          <w:szCs w:val="20"/>
        </w:rPr>
        <w:br/>
      </w:r>
      <w:r w:rsidR="00CE60E3" w:rsidRPr="00160EBD">
        <w:rPr>
          <w:szCs w:val="20"/>
        </w:rPr>
        <w:t xml:space="preserve">Having regard to the United Nations Educational, Scientific and Cultural Organization (UNESCO) Convention on the Protection and Promotion of the Diversity of Cultural Expressions (Paris, 20 October 2005), which recognises cultural diversity as a defining characteristic of humanity and strives to strengthen the creation, production, dissemination, distribution and enjoyment of cultural </w:t>
      </w:r>
      <w:proofErr w:type="gramStart"/>
      <w:r w:rsidR="00CE60E3" w:rsidRPr="00160EBD">
        <w:rPr>
          <w:szCs w:val="20"/>
        </w:rPr>
        <w:t>expressions;</w:t>
      </w:r>
      <w:proofErr w:type="gramEnd"/>
    </w:p>
    <w:p w14:paraId="6128EF3B" w14:textId="59B0564F" w:rsidR="00CE60E3" w:rsidRPr="00160EBD" w:rsidRDefault="006A464A" w:rsidP="006A464A">
      <w:pPr>
        <w:adjustRightInd w:val="0"/>
        <w:rPr>
          <w:szCs w:val="20"/>
        </w:rPr>
      </w:pPr>
      <w:r>
        <w:rPr>
          <w:szCs w:val="20"/>
          <w:shd w:val="clear" w:color="auto" w:fill="FFFFFF"/>
        </w:rPr>
        <w:br/>
      </w:r>
      <w:r w:rsidR="00CE60E3" w:rsidRPr="00160EBD">
        <w:rPr>
          <w:szCs w:val="20"/>
          <w:shd w:val="clear" w:color="auto" w:fill="FFFFFF"/>
        </w:rPr>
        <w:t>Considering the final declaration of the Council of Europe Conference of Ministers of Culture, adopted in Strasbourg on 1 April 2022, as well as the conclusions of the High-level Conference on drama series,</w:t>
      </w:r>
      <w:r w:rsidR="00CE60E3" w:rsidRPr="000463A3" w:rsidDel="00422BCA">
        <w:rPr>
          <w:rStyle w:val="FootnoteReference"/>
          <w:szCs w:val="20"/>
          <w:shd w:val="clear" w:color="auto" w:fill="FFFFFF"/>
        </w:rPr>
        <w:t xml:space="preserve"> </w:t>
      </w:r>
      <w:r w:rsidR="00CE60E3" w:rsidRPr="00940BC4">
        <w:rPr>
          <w:szCs w:val="20"/>
          <w:shd w:val="clear" w:color="auto" w:fill="FFFFFF"/>
        </w:rPr>
        <w:t xml:space="preserve"> organised under the auspices of the Hungarian Presidency of the Committee of Ministers (Budapest, 30</w:t>
      </w:r>
      <w:r w:rsidR="00CE60E3">
        <w:rPr>
          <w:szCs w:val="20"/>
          <w:shd w:val="clear" w:color="auto" w:fill="FFFFFF"/>
        </w:rPr>
        <w:t> </w:t>
      </w:r>
      <w:r w:rsidR="00CE60E3" w:rsidRPr="00160EBD">
        <w:rPr>
          <w:szCs w:val="20"/>
          <w:shd w:val="clear" w:color="auto" w:fill="FFFFFF"/>
        </w:rPr>
        <w:t>September-1 October 2021</w:t>
      </w:r>
      <w:proofErr w:type="gramStart"/>
      <w:r w:rsidR="00CE60E3" w:rsidRPr="00160EBD">
        <w:rPr>
          <w:szCs w:val="20"/>
          <w:shd w:val="clear" w:color="auto" w:fill="FFFFFF"/>
        </w:rPr>
        <w:t>);</w:t>
      </w:r>
      <w:proofErr w:type="gramEnd"/>
    </w:p>
    <w:p w14:paraId="7A6E8206" w14:textId="74979BE1" w:rsidR="00CE60E3" w:rsidRPr="00160EBD" w:rsidRDefault="006A464A" w:rsidP="006A464A">
      <w:pPr>
        <w:adjustRightInd w:val="0"/>
        <w:rPr>
          <w:szCs w:val="20"/>
        </w:rPr>
      </w:pPr>
      <w:r>
        <w:rPr>
          <w:szCs w:val="20"/>
          <w:shd w:val="clear" w:color="auto" w:fill="FFFFFF"/>
        </w:rPr>
        <w:br/>
      </w:r>
      <w:r w:rsidR="00CE60E3" w:rsidRPr="00160EBD">
        <w:rPr>
          <w:szCs w:val="20"/>
          <w:shd w:val="clear" w:color="auto" w:fill="FFFFFF"/>
        </w:rPr>
        <w:t xml:space="preserve">Considering Recommendation </w:t>
      </w:r>
      <w:bookmarkStart w:id="1" w:name="_ML_000000000001_VALID"/>
      <w:r w:rsidR="00CE05BE" w:rsidRPr="00CE05BE">
        <w:rPr>
          <w:szCs w:val="20"/>
          <w:shd w:val="clear" w:color="auto" w:fill="FFFFFF"/>
        </w:rPr>
        <w:fldChar w:fldCharType="begin"/>
      </w:r>
      <w:r w:rsidR="00CE05BE" w:rsidRPr="00CE05BE">
        <w:rPr>
          <w:szCs w:val="20"/>
          <w:shd w:val="clear" w:color="auto" w:fill="FFFFFF"/>
        </w:rPr>
        <w:instrText>HYPERLINK "https://search.coe.int/cm/eng#%7B%22CoEReference%22:[%22CM/Rec(2017)9%22],%22CoELanguageId%22:[%22eng%22],%22CoECollection%22:[%22COE_DOC%22],%22po%22:%7B%22ref%22:%22=%22%7D%7D" \o "Recommendation of the Committee of Ministers to member States on gender equality in the audiovisual sector (Adopted by the Committee of Ministers on 27 September 2017 at the 1295th meeting of the Ministers' Deputies)"</w:instrText>
      </w:r>
      <w:r w:rsidR="00CE05BE" w:rsidRPr="00CE05BE">
        <w:rPr>
          <w:szCs w:val="20"/>
          <w:shd w:val="clear" w:color="auto" w:fill="FFFFFF"/>
        </w:rPr>
      </w:r>
      <w:r w:rsidR="00CE05BE" w:rsidRPr="00CE05BE">
        <w:rPr>
          <w:szCs w:val="20"/>
          <w:shd w:val="clear" w:color="auto" w:fill="FFFFFF"/>
        </w:rPr>
        <w:fldChar w:fldCharType="separate"/>
      </w:r>
      <w:bookmarkEnd w:id="1"/>
      <w:r w:rsidR="00CE05BE" w:rsidRPr="00CE05BE">
        <w:rPr>
          <w:rStyle w:val="Hyperlink"/>
          <w:szCs w:val="20"/>
          <w:shd w:val="clear" w:color="auto" w:fill="FFFFFF"/>
        </w:rPr>
        <w:t>CM/Rec(2017)9</w:t>
      </w:r>
      <w:r w:rsidR="00CE05BE" w:rsidRPr="00CE05BE">
        <w:rPr>
          <w:szCs w:val="20"/>
          <w:shd w:val="clear" w:color="auto" w:fill="FFFFFF"/>
        </w:rPr>
        <w:fldChar w:fldCharType="end"/>
      </w:r>
      <w:r w:rsidR="00CE60E3" w:rsidRPr="00160EBD">
        <w:rPr>
          <w:szCs w:val="20"/>
          <w:shd w:val="clear" w:color="auto" w:fill="FFFFFF"/>
        </w:rPr>
        <w:t xml:space="preserve"> of the Committee of Ministers to member States on gender equality in the audiovisual sector;</w:t>
      </w:r>
    </w:p>
    <w:p w14:paraId="7C7F06FA" w14:textId="62253610" w:rsidR="00CE60E3" w:rsidRPr="00160EBD" w:rsidRDefault="006A464A" w:rsidP="006A464A">
      <w:pPr>
        <w:adjustRightInd w:val="0"/>
        <w:rPr>
          <w:szCs w:val="20"/>
        </w:rPr>
      </w:pPr>
      <w:r>
        <w:rPr>
          <w:szCs w:val="20"/>
          <w:shd w:val="clear" w:color="auto" w:fill="FFFFFF"/>
        </w:rPr>
        <w:br/>
      </w:r>
      <w:r w:rsidR="00CE60E3" w:rsidRPr="00160EBD">
        <w:rPr>
          <w:szCs w:val="20"/>
          <w:shd w:val="clear" w:color="auto" w:fill="FFFFFF"/>
        </w:rPr>
        <w:t>Considering the ability of digital technologies to affect cultural and creative production and distribution models, as well as access to cultural services and media, together with the potential for artificial intelligence and data curation to influence accessibility to cultural content and in</w:t>
      </w:r>
      <w:r w:rsidR="00CE60E3" w:rsidRPr="00160EBD">
        <w:rPr>
          <w:strike/>
          <w:szCs w:val="20"/>
          <w:shd w:val="clear" w:color="auto" w:fill="FFFFFF"/>
        </w:rPr>
        <w:t xml:space="preserve"> </w:t>
      </w:r>
      <w:r w:rsidR="00CE60E3" w:rsidRPr="00160EBD">
        <w:rPr>
          <w:szCs w:val="20"/>
          <w:shd w:val="clear" w:color="auto" w:fill="FFFFFF"/>
        </w:rPr>
        <w:t xml:space="preserve">particular audiovisual works, to the detriment of democratic values and cultural </w:t>
      </w:r>
      <w:proofErr w:type="gramStart"/>
      <w:r w:rsidR="00CE60E3" w:rsidRPr="00160EBD">
        <w:rPr>
          <w:szCs w:val="20"/>
          <w:shd w:val="clear" w:color="auto" w:fill="FFFFFF"/>
        </w:rPr>
        <w:t>diversity;</w:t>
      </w:r>
      <w:proofErr w:type="gramEnd"/>
    </w:p>
    <w:p w14:paraId="303BAD1E" w14:textId="4897E572" w:rsidR="00CE60E3" w:rsidRPr="00160EBD" w:rsidRDefault="006A464A" w:rsidP="006A464A">
      <w:pPr>
        <w:adjustRightInd w:val="0"/>
        <w:rPr>
          <w:szCs w:val="20"/>
        </w:rPr>
      </w:pPr>
      <w:r>
        <w:rPr>
          <w:szCs w:val="20"/>
        </w:rPr>
        <w:br/>
      </w:r>
      <w:r w:rsidR="00CE60E3" w:rsidRPr="00160EBD">
        <w:rPr>
          <w:szCs w:val="20"/>
        </w:rPr>
        <w:t xml:space="preserve">Considering that co-production of audiovisual works in the form of series intended for linear and non-linear distribution is an instrument of creation and expression of cultural diversity on a global scale, and that it plays an essential role in upholding freedom of expression, diversity and creativity, as well as democratic </w:t>
      </w:r>
      <w:proofErr w:type="gramStart"/>
      <w:r w:rsidR="00CE60E3" w:rsidRPr="00160EBD">
        <w:rPr>
          <w:szCs w:val="20"/>
        </w:rPr>
        <w:t>citizenship;</w:t>
      </w:r>
      <w:proofErr w:type="gramEnd"/>
      <w:r w:rsidR="00CE60E3" w:rsidRPr="00160EBD">
        <w:rPr>
          <w:szCs w:val="20"/>
        </w:rPr>
        <w:t xml:space="preserve"> </w:t>
      </w:r>
    </w:p>
    <w:p w14:paraId="41F49CF3" w14:textId="77777777" w:rsidR="006A464A" w:rsidRDefault="006A464A" w:rsidP="006A464A">
      <w:pPr>
        <w:adjustRightInd w:val="0"/>
        <w:rPr>
          <w:szCs w:val="20"/>
        </w:rPr>
      </w:pPr>
      <w:r>
        <w:rPr>
          <w:szCs w:val="20"/>
        </w:rPr>
        <w:br/>
      </w:r>
    </w:p>
    <w:p w14:paraId="10C7FAE2" w14:textId="77777777" w:rsidR="006A464A" w:rsidRDefault="006A464A">
      <w:pPr>
        <w:rPr>
          <w:szCs w:val="20"/>
        </w:rPr>
      </w:pPr>
      <w:r>
        <w:rPr>
          <w:szCs w:val="20"/>
        </w:rPr>
        <w:br w:type="page"/>
      </w:r>
    </w:p>
    <w:p w14:paraId="7C6D1AF5" w14:textId="6035F369" w:rsidR="00CE60E3" w:rsidRPr="000463A3" w:rsidRDefault="00CE60E3" w:rsidP="006A464A">
      <w:pPr>
        <w:adjustRightInd w:val="0"/>
        <w:rPr>
          <w:sz w:val="18"/>
          <w:szCs w:val="18"/>
        </w:rPr>
      </w:pPr>
      <w:r w:rsidRPr="00160EBD">
        <w:rPr>
          <w:szCs w:val="20"/>
        </w:rPr>
        <w:lastRenderedPageBreak/>
        <w:t xml:space="preserve">Acknowledging the contribution of independent producers to cultural diversity and their important role in initiating, assembling creative elements of, developing and producing audiovisual works in the form of series, and determined to enhance their contribution to the co-production of such </w:t>
      </w:r>
      <w:proofErr w:type="gramStart"/>
      <w:r w:rsidRPr="00160EBD">
        <w:rPr>
          <w:szCs w:val="20"/>
        </w:rPr>
        <w:t>works;</w:t>
      </w:r>
      <w:proofErr w:type="gramEnd"/>
    </w:p>
    <w:p w14:paraId="00B018A7" w14:textId="624E0119" w:rsidR="00CE60E3" w:rsidRPr="000463A3" w:rsidRDefault="006A464A" w:rsidP="006A464A">
      <w:pPr>
        <w:adjustRightInd w:val="0"/>
        <w:rPr>
          <w:sz w:val="18"/>
          <w:szCs w:val="18"/>
        </w:rPr>
      </w:pPr>
      <w:r>
        <w:rPr>
          <w:szCs w:val="20"/>
        </w:rPr>
        <w:br/>
      </w:r>
      <w:r w:rsidR="00CE60E3" w:rsidRPr="00940BC4">
        <w:rPr>
          <w:szCs w:val="20"/>
        </w:rPr>
        <w:t xml:space="preserve">Acknowledging the key contribution of public and private media service providers to the development, production and distribution of audiovisual works in the form of series across member </w:t>
      </w:r>
      <w:proofErr w:type="gramStart"/>
      <w:r w:rsidR="00CE60E3" w:rsidRPr="00940BC4">
        <w:rPr>
          <w:szCs w:val="20"/>
        </w:rPr>
        <w:t>States;</w:t>
      </w:r>
      <w:proofErr w:type="gramEnd"/>
    </w:p>
    <w:p w14:paraId="7EAE64A7" w14:textId="658D159D" w:rsidR="00CE60E3" w:rsidRPr="00940BC4" w:rsidRDefault="006A464A" w:rsidP="006A464A">
      <w:pPr>
        <w:adjustRightInd w:val="0"/>
        <w:rPr>
          <w:szCs w:val="20"/>
        </w:rPr>
      </w:pPr>
      <w:r>
        <w:rPr>
          <w:szCs w:val="20"/>
        </w:rPr>
        <w:br/>
      </w:r>
      <w:r w:rsidR="00CE60E3" w:rsidRPr="00940BC4">
        <w:rPr>
          <w:szCs w:val="20"/>
        </w:rPr>
        <w:t xml:space="preserve">Aware of the wide diversity of business practices in the member States and the need for a standard reference to facilitate fair exchanges between all players involved in the production of audiovisual works in the form of </w:t>
      </w:r>
      <w:proofErr w:type="gramStart"/>
      <w:r w:rsidR="00CE60E3" w:rsidRPr="00940BC4">
        <w:rPr>
          <w:szCs w:val="20"/>
        </w:rPr>
        <w:t>series;</w:t>
      </w:r>
      <w:proofErr w:type="gramEnd"/>
    </w:p>
    <w:p w14:paraId="03585E66" w14:textId="22045DAF" w:rsidR="00CE60E3" w:rsidRPr="00852B9F" w:rsidRDefault="006A464A" w:rsidP="006A464A">
      <w:pPr>
        <w:adjustRightInd w:val="0"/>
        <w:rPr>
          <w:szCs w:val="20"/>
        </w:rPr>
      </w:pPr>
      <w:r>
        <w:rPr>
          <w:szCs w:val="20"/>
        </w:rPr>
        <w:br/>
      </w:r>
      <w:r w:rsidR="00CE60E3" w:rsidRPr="00940BC4">
        <w:rPr>
          <w:szCs w:val="20"/>
        </w:rPr>
        <w:t>Determined</w:t>
      </w:r>
      <w:r w:rsidR="00CE60E3" w:rsidRPr="00160EBD">
        <w:rPr>
          <w:szCs w:val="20"/>
        </w:rPr>
        <w:t xml:space="preserve"> to develop these principles and recalling the following recommendations of the Committee of Ministers to member States: </w:t>
      </w:r>
      <w:r w:rsidR="00CE60E3" w:rsidRPr="00852B9F">
        <w:rPr>
          <w:szCs w:val="20"/>
        </w:rPr>
        <w:t xml:space="preserve">Recommendation </w:t>
      </w:r>
      <w:bookmarkStart w:id="2" w:name="_ML_000000000002_VALID"/>
      <w:r w:rsidR="00CE05BE" w:rsidRPr="00CE05BE">
        <w:rPr>
          <w:szCs w:val="20"/>
        </w:rPr>
        <w:fldChar w:fldCharType="begin"/>
      </w:r>
      <w:r w:rsidR="00CE05BE" w:rsidRPr="00CE05BE">
        <w:rPr>
          <w:szCs w:val="20"/>
        </w:rPr>
        <w:instrText>HYPERLINK "https://search.coe.int/cm/eng#%7B%22CoEReference%22:[%22CM/Rec(2022)15%22],%22CoELanguageId%22:[%22eng%22],%22CoECollection%22:[%22COE_DOC%22],%22po%22:%7B%22ref%22:%22=%22%7D%7D" \o "Recommendation of the Committee of Ministers to member States on the role of culture, cultural heritage and landscape in helping to address global challenges (Adopted by the Committee of Ministers on 20 May 2022 at the 132nd Session of the Committee of Ministers)"</w:instrText>
      </w:r>
      <w:r w:rsidR="00CE05BE" w:rsidRPr="00CE05BE">
        <w:rPr>
          <w:szCs w:val="20"/>
        </w:rPr>
      </w:r>
      <w:r w:rsidR="00CE05BE" w:rsidRPr="00CE05BE">
        <w:rPr>
          <w:szCs w:val="20"/>
        </w:rPr>
        <w:fldChar w:fldCharType="separate"/>
      </w:r>
      <w:bookmarkEnd w:id="2"/>
      <w:r w:rsidR="00CE05BE" w:rsidRPr="00CE05BE">
        <w:rPr>
          <w:rStyle w:val="Hyperlink"/>
          <w:szCs w:val="20"/>
        </w:rPr>
        <w:t>CM/Rec(2022)15</w:t>
      </w:r>
      <w:r w:rsidR="00CE05BE" w:rsidRPr="00CE05BE">
        <w:rPr>
          <w:szCs w:val="20"/>
        </w:rPr>
        <w:fldChar w:fldCharType="end"/>
      </w:r>
      <w:r w:rsidR="00CE60E3" w:rsidRPr="00852B9F">
        <w:rPr>
          <w:szCs w:val="20"/>
        </w:rPr>
        <w:t xml:space="preserve"> on the role of culture, cultural heritage and landscape in helping to address global challenges, Recommendation No. R (86) 3 on the promotion of audiovisual production in Europe and Recommendation </w:t>
      </w:r>
      <w:bookmarkStart w:id="3" w:name="_ML_000000000003_VALID"/>
      <w:r w:rsidR="00CE05BE" w:rsidRPr="00CE05BE">
        <w:rPr>
          <w:szCs w:val="20"/>
        </w:rPr>
        <w:fldChar w:fldCharType="begin"/>
      </w:r>
      <w:r w:rsidR="00CE05BE" w:rsidRPr="00CE05BE">
        <w:rPr>
          <w:szCs w:val="20"/>
        </w:rPr>
        <w:instrText>HYPERLINK "https://search.coe.int/cm/eng#%7B%22CoEReference%22:[%22CM/Rec(2009)7%22],%22CoELanguageId%22:[%22eng%22],%22CoECollection%22:[%22COE_DOC%22],%22po%22:%7B%22ref%22:%22=%22%7D%7D" \o "Recommendation of the Committee of Ministers to member states on national film policies and the diversity of cultural expressions (Adopted by the Committee of Ministers on 23 September 2009 at the 1066th meeting of the Ministers' Deputies)"</w:instrText>
      </w:r>
      <w:r w:rsidR="00CE05BE" w:rsidRPr="00CE05BE">
        <w:rPr>
          <w:szCs w:val="20"/>
        </w:rPr>
      </w:r>
      <w:r w:rsidR="00CE05BE" w:rsidRPr="00CE05BE">
        <w:rPr>
          <w:szCs w:val="20"/>
        </w:rPr>
        <w:fldChar w:fldCharType="separate"/>
      </w:r>
      <w:bookmarkEnd w:id="3"/>
      <w:r w:rsidR="00CE05BE" w:rsidRPr="00CE05BE">
        <w:rPr>
          <w:rStyle w:val="Hyperlink"/>
          <w:szCs w:val="20"/>
        </w:rPr>
        <w:t>CM/Rec(2009)7</w:t>
      </w:r>
      <w:r w:rsidR="00CE05BE" w:rsidRPr="00CE05BE">
        <w:rPr>
          <w:szCs w:val="20"/>
        </w:rPr>
        <w:fldChar w:fldCharType="end"/>
      </w:r>
      <w:r w:rsidR="00CE60E3" w:rsidRPr="00852B9F">
        <w:rPr>
          <w:szCs w:val="20"/>
        </w:rPr>
        <w:t xml:space="preserve"> on national film policies and the diversity of cultural expressions;</w:t>
      </w:r>
    </w:p>
    <w:p w14:paraId="702A1424" w14:textId="707DD6EB" w:rsidR="00CE60E3" w:rsidRPr="00852B9F" w:rsidRDefault="006A464A" w:rsidP="006A464A">
      <w:pPr>
        <w:adjustRightInd w:val="0"/>
        <w:rPr>
          <w:szCs w:val="20"/>
        </w:rPr>
      </w:pPr>
      <w:r>
        <w:rPr>
          <w:szCs w:val="20"/>
        </w:rPr>
        <w:br/>
      </w:r>
      <w:r w:rsidR="00CE60E3" w:rsidRPr="00852B9F">
        <w:rPr>
          <w:szCs w:val="20"/>
        </w:rPr>
        <w:t xml:space="preserve">Acknowledging that Resolution (88) 15 setting up a European Support Fund for the Co-production and Distribution of Creative Cinematographic and Audiovisual Works “Eurimages” was conceived to accommodate actions aimed at the support of both cinematographic and audiovisual </w:t>
      </w:r>
      <w:proofErr w:type="gramStart"/>
      <w:r w:rsidR="00CE60E3" w:rsidRPr="00852B9F">
        <w:rPr>
          <w:szCs w:val="20"/>
        </w:rPr>
        <w:t>works;</w:t>
      </w:r>
      <w:proofErr w:type="gramEnd"/>
    </w:p>
    <w:p w14:paraId="1953A5E9" w14:textId="26AAEEFB" w:rsidR="00CE60E3" w:rsidRPr="00852B9F" w:rsidRDefault="006A464A" w:rsidP="006A464A">
      <w:pPr>
        <w:adjustRightInd w:val="0"/>
        <w:rPr>
          <w:szCs w:val="20"/>
        </w:rPr>
      </w:pPr>
      <w:r>
        <w:rPr>
          <w:szCs w:val="20"/>
        </w:rPr>
        <w:br/>
      </w:r>
      <w:r w:rsidR="00CE60E3" w:rsidRPr="00852B9F">
        <w:rPr>
          <w:szCs w:val="20"/>
        </w:rPr>
        <w:t xml:space="preserve">Considering that the adoption of common rules tends to decrease restrictions, foster trust and encourage co-operation in the field of co-production of audiovisual works in the form of </w:t>
      </w:r>
      <w:proofErr w:type="gramStart"/>
      <w:r w:rsidR="00CE60E3" w:rsidRPr="00852B9F">
        <w:rPr>
          <w:szCs w:val="20"/>
        </w:rPr>
        <w:t>series;</w:t>
      </w:r>
      <w:proofErr w:type="gramEnd"/>
    </w:p>
    <w:p w14:paraId="3910A6CC" w14:textId="069EE589" w:rsidR="00CE60E3" w:rsidRPr="00852B9F" w:rsidRDefault="006A464A" w:rsidP="006A464A">
      <w:pPr>
        <w:adjustRightInd w:val="0"/>
        <w:rPr>
          <w:szCs w:val="20"/>
        </w:rPr>
      </w:pPr>
      <w:r>
        <w:rPr>
          <w:szCs w:val="20"/>
        </w:rPr>
        <w:br/>
      </w:r>
      <w:r w:rsidR="00CE60E3" w:rsidRPr="00852B9F">
        <w:rPr>
          <w:szCs w:val="20"/>
        </w:rPr>
        <w:t xml:space="preserve">Considering the technological, economic and financial evolution of the audiovisual sector, and the role played by audiovisual works in the form of series in this </w:t>
      </w:r>
      <w:proofErr w:type="gramStart"/>
      <w:r w:rsidR="00CE60E3" w:rsidRPr="00852B9F">
        <w:rPr>
          <w:szCs w:val="20"/>
        </w:rPr>
        <w:t>evolution;</w:t>
      </w:r>
      <w:proofErr w:type="gramEnd"/>
    </w:p>
    <w:p w14:paraId="4EDBC111" w14:textId="18D85DC9" w:rsidR="00CE60E3" w:rsidRPr="00852B9F" w:rsidRDefault="006A464A" w:rsidP="006A464A">
      <w:pPr>
        <w:adjustRightInd w:val="0"/>
        <w:rPr>
          <w:szCs w:val="20"/>
        </w:rPr>
      </w:pPr>
      <w:r>
        <w:rPr>
          <w:szCs w:val="20"/>
        </w:rPr>
        <w:br/>
      </w:r>
      <w:r w:rsidR="00CE60E3" w:rsidRPr="00852B9F">
        <w:rPr>
          <w:szCs w:val="20"/>
        </w:rPr>
        <w:t xml:space="preserve">Considering that international co-production of audiovisual works in the form of series contributes to a wider </w:t>
      </w:r>
      <w:proofErr w:type="gramStart"/>
      <w:r w:rsidR="00CE60E3" w:rsidRPr="00852B9F">
        <w:rPr>
          <w:szCs w:val="20"/>
        </w:rPr>
        <w:t>circulation;</w:t>
      </w:r>
      <w:proofErr w:type="gramEnd"/>
    </w:p>
    <w:p w14:paraId="5F8A84A9" w14:textId="3F92B785" w:rsidR="00CE60E3" w:rsidRPr="00852B9F" w:rsidRDefault="006A464A" w:rsidP="006A464A">
      <w:pPr>
        <w:adjustRightInd w:val="0"/>
        <w:rPr>
          <w:szCs w:val="20"/>
        </w:rPr>
      </w:pPr>
      <w:r>
        <w:rPr>
          <w:szCs w:val="20"/>
        </w:rPr>
        <w:br/>
      </w:r>
      <w:r w:rsidR="00CE60E3" w:rsidRPr="00852B9F">
        <w:rPr>
          <w:szCs w:val="20"/>
        </w:rPr>
        <w:t xml:space="preserve">Considering that improved availability of data, in particular with regard to viewing, contributes to a better understanding of the success and circulation of audiovisual works in the form of </w:t>
      </w:r>
      <w:proofErr w:type="gramStart"/>
      <w:r w:rsidR="00CE60E3" w:rsidRPr="00852B9F">
        <w:rPr>
          <w:szCs w:val="20"/>
        </w:rPr>
        <w:t>series;</w:t>
      </w:r>
      <w:proofErr w:type="gramEnd"/>
    </w:p>
    <w:p w14:paraId="60103F47" w14:textId="7A973870" w:rsidR="00CE60E3" w:rsidRPr="00852B9F" w:rsidRDefault="006A464A" w:rsidP="006A464A">
      <w:pPr>
        <w:adjustRightInd w:val="0"/>
        <w:rPr>
          <w:szCs w:val="20"/>
        </w:rPr>
      </w:pPr>
      <w:r>
        <w:rPr>
          <w:szCs w:val="20"/>
        </w:rPr>
        <w:br/>
      </w:r>
      <w:r w:rsidR="00CE60E3" w:rsidRPr="00852B9F">
        <w:rPr>
          <w:szCs w:val="20"/>
        </w:rPr>
        <w:t>Resolved to achieve these objectives thanks to a joint effort to foster co-operation and define rules which adapt themselves to the co-production of audiovisual works in the form of series, as a whole,</w:t>
      </w:r>
    </w:p>
    <w:p w14:paraId="6A58789B" w14:textId="77777777" w:rsidR="00CE60E3" w:rsidRPr="006B464B" w:rsidRDefault="00CE60E3" w:rsidP="006A464A">
      <w:pPr>
        <w:pStyle w:val="BodyText"/>
        <w:rPr>
          <w:sz w:val="24"/>
          <w:lang w:val="en-GB"/>
        </w:rPr>
      </w:pPr>
    </w:p>
    <w:p w14:paraId="5F17CF23" w14:textId="77777777" w:rsidR="00CE60E3" w:rsidRPr="006B464B" w:rsidRDefault="00CE60E3" w:rsidP="006A464A">
      <w:pPr>
        <w:pStyle w:val="BodyText"/>
        <w:rPr>
          <w:lang w:val="en-GB"/>
        </w:rPr>
      </w:pPr>
      <w:r w:rsidRPr="006B464B">
        <w:rPr>
          <w:lang w:val="en-GB"/>
        </w:rPr>
        <w:t>Have agreed as follows:</w:t>
      </w:r>
    </w:p>
    <w:p w14:paraId="2F726315" w14:textId="77777777" w:rsidR="00CE60E3" w:rsidRPr="006B464B" w:rsidRDefault="00CE60E3" w:rsidP="006A464A">
      <w:pPr>
        <w:pStyle w:val="Heading1"/>
        <w:ind w:left="0"/>
        <w:rPr>
          <w:lang w:val="en-GB"/>
        </w:rPr>
      </w:pPr>
    </w:p>
    <w:p w14:paraId="524FEFA6" w14:textId="77777777" w:rsidR="00CE60E3" w:rsidRPr="006B464B" w:rsidRDefault="00CE60E3" w:rsidP="006A464A">
      <w:pPr>
        <w:pStyle w:val="Heading1"/>
        <w:ind w:left="0"/>
        <w:rPr>
          <w:lang w:val="en-GB"/>
        </w:rPr>
      </w:pPr>
      <w:r w:rsidRPr="006B464B">
        <w:rPr>
          <w:lang w:val="en-GB"/>
        </w:rPr>
        <w:t>Chapter I – General provisions</w:t>
      </w:r>
      <w:r w:rsidRPr="006B464B">
        <w:rPr>
          <w:lang w:val="en-GB"/>
        </w:rPr>
        <w:br/>
      </w:r>
    </w:p>
    <w:p w14:paraId="5FA99708" w14:textId="77777777" w:rsidR="00CE60E3" w:rsidRPr="006B464B" w:rsidRDefault="00CE60E3" w:rsidP="006A464A">
      <w:pPr>
        <w:pStyle w:val="Heading1"/>
        <w:ind w:left="0"/>
        <w:rPr>
          <w:lang w:val="en-GB"/>
        </w:rPr>
      </w:pPr>
      <w:r w:rsidRPr="006B464B">
        <w:rPr>
          <w:lang w:val="en-GB"/>
        </w:rPr>
        <w:t>Article 1 – Aim of the Convention</w:t>
      </w:r>
    </w:p>
    <w:p w14:paraId="7DF76D30" w14:textId="77777777" w:rsidR="00521707" w:rsidRDefault="00521707" w:rsidP="006A464A">
      <w:pPr>
        <w:pStyle w:val="BodyText"/>
        <w:ind w:right="118"/>
        <w:rPr>
          <w:lang w:val="en-GB"/>
        </w:rPr>
      </w:pPr>
    </w:p>
    <w:p w14:paraId="0814050C" w14:textId="1DE1E413" w:rsidR="00CE60E3" w:rsidRPr="006B464B" w:rsidRDefault="00CE60E3" w:rsidP="006A464A">
      <w:pPr>
        <w:pStyle w:val="BodyText"/>
        <w:ind w:right="118"/>
        <w:rPr>
          <w:lang w:val="en-GB"/>
        </w:rPr>
      </w:pPr>
      <w:r w:rsidRPr="006B464B">
        <w:rPr>
          <w:lang w:val="en-GB"/>
        </w:rPr>
        <w:t>The Parties to this Convention undertake to foster international co-production of audiovisual works in the form of series, in accordance with the following provisions.</w:t>
      </w:r>
    </w:p>
    <w:p w14:paraId="0312497F" w14:textId="77777777" w:rsidR="00CE60E3" w:rsidRPr="006B464B" w:rsidRDefault="00CE60E3" w:rsidP="006A464A">
      <w:pPr>
        <w:pStyle w:val="BodyText"/>
        <w:rPr>
          <w:lang w:val="en-GB"/>
        </w:rPr>
      </w:pPr>
    </w:p>
    <w:p w14:paraId="6F9A4016" w14:textId="77777777" w:rsidR="00CE60E3" w:rsidRPr="006B464B" w:rsidRDefault="00CE60E3" w:rsidP="006A464A">
      <w:pPr>
        <w:pStyle w:val="Heading1"/>
        <w:ind w:left="0"/>
        <w:rPr>
          <w:lang w:val="en-GB"/>
        </w:rPr>
      </w:pPr>
      <w:bookmarkStart w:id="4" w:name="_Ref114222266"/>
      <w:r w:rsidRPr="006B464B">
        <w:rPr>
          <w:lang w:val="en-GB"/>
        </w:rPr>
        <w:t>Article 2 – Scope</w:t>
      </w:r>
      <w:bookmarkEnd w:id="4"/>
    </w:p>
    <w:p w14:paraId="0B99799E" w14:textId="77777777" w:rsidR="00CE60E3" w:rsidRPr="006B464B" w:rsidRDefault="00CE60E3" w:rsidP="006A464A">
      <w:pPr>
        <w:pStyle w:val="BodyText"/>
        <w:rPr>
          <w:b/>
          <w:lang w:val="en-GB"/>
        </w:rPr>
      </w:pPr>
    </w:p>
    <w:p w14:paraId="19DB62EA" w14:textId="769B857E" w:rsidR="00CE60E3" w:rsidRPr="006B464B" w:rsidRDefault="00CE60E3" w:rsidP="006A464A">
      <w:pPr>
        <w:pStyle w:val="ListParagraph"/>
        <w:widowControl w:val="0"/>
        <w:numPr>
          <w:ilvl w:val="2"/>
          <w:numId w:val="9"/>
        </w:numPr>
        <w:autoSpaceDE w:val="0"/>
        <w:autoSpaceDN w:val="0"/>
        <w:ind w:left="0" w:right="117" w:firstLine="0"/>
        <w:contextualSpacing w:val="0"/>
        <w:rPr>
          <w:szCs w:val="20"/>
        </w:rPr>
      </w:pPr>
      <w:r w:rsidRPr="006B464B">
        <w:rPr>
          <w:szCs w:val="20"/>
        </w:rPr>
        <w:t>This Convention shall govern relations between the Parties in the field of co-productions of audiovisual works in the form of series originating in the territory of the</w:t>
      </w:r>
      <w:r w:rsidRPr="006B464B">
        <w:rPr>
          <w:spacing w:val="-8"/>
          <w:szCs w:val="20"/>
        </w:rPr>
        <w:t xml:space="preserve"> </w:t>
      </w:r>
      <w:r w:rsidRPr="006B464B">
        <w:rPr>
          <w:szCs w:val="20"/>
        </w:rPr>
        <w:t>Parties.</w:t>
      </w:r>
      <w:r w:rsidR="006A464A">
        <w:rPr>
          <w:szCs w:val="20"/>
        </w:rPr>
        <w:br/>
      </w:r>
    </w:p>
    <w:p w14:paraId="106E6D8C" w14:textId="475D1DFF" w:rsidR="00CE60E3" w:rsidRPr="006B464B" w:rsidRDefault="00CE60E3" w:rsidP="006A464A">
      <w:pPr>
        <w:pStyle w:val="ListParagraph"/>
        <w:widowControl w:val="0"/>
        <w:numPr>
          <w:ilvl w:val="2"/>
          <w:numId w:val="9"/>
        </w:numPr>
        <w:autoSpaceDE w:val="0"/>
        <w:autoSpaceDN w:val="0"/>
        <w:ind w:left="0" w:right="117" w:firstLine="0"/>
        <w:contextualSpacing w:val="0"/>
        <w:rPr>
          <w:szCs w:val="20"/>
        </w:rPr>
      </w:pPr>
      <w:r w:rsidRPr="006B464B">
        <w:rPr>
          <w:szCs w:val="20"/>
        </w:rPr>
        <w:t>This Convention shall apply to:</w:t>
      </w:r>
      <w:r w:rsidR="006A464A">
        <w:rPr>
          <w:szCs w:val="20"/>
        </w:rPr>
        <w:br/>
      </w:r>
    </w:p>
    <w:p w14:paraId="776D52B9" w14:textId="65E49291" w:rsidR="00CE60E3" w:rsidRPr="00D865AF" w:rsidRDefault="00CE60E3" w:rsidP="006A464A">
      <w:pPr>
        <w:pStyle w:val="ListParagraph"/>
        <w:widowControl w:val="0"/>
        <w:numPr>
          <w:ilvl w:val="0"/>
          <w:numId w:val="22"/>
        </w:numPr>
        <w:autoSpaceDE w:val="0"/>
        <w:autoSpaceDN w:val="0"/>
        <w:ind w:left="1134" w:right="117" w:hanging="425"/>
        <w:contextualSpacing w:val="0"/>
        <w:rPr>
          <w:szCs w:val="20"/>
        </w:rPr>
      </w:pPr>
      <w:r w:rsidRPr="00D865AF">
        <w:rPr>
          <w:szCs w:val="20"/>
        </w:rPr>
        <w:t xml:space="preserve">bilateral co-productions involving two independent co-producers established in two different Parties to the Convention, and which may involve one or more other </w:t>
      </w:r>
      <w:r w:rsidR="00F43459">
        <w:rPr>
          <w:szCs w:val="20"/>
        </w:rPr>
        <w:br/>
      </w:r>
      <w:r w:rsidRPr="00D865AF">
        <w:rPr>
          <w:szCs w:val="20"/>
        </w:rPr>
        <w:t>co-</w:t>
      </w:r>
      <w:proofErr w:type="gramStart"/>
      <w:r w:rsidRPr="00D865AF">
        <w:rPr>
          <w:szCs w:val="20"/>
        </w:rPr>
        <w:t>producers;</w:t>
      </w:r>
      <w:proofErr w:type="gramEnd"/>
      <w:r w:rsidRPr="00D865AF">
        <w:rPr>
          <w:szCs w:val="20"/>
        </w:rPr>
        <w:t xml:space="preserve"> </w:t>
      </w:r>
      <w:r w:rsidRPr="00D865AF">
        <w:rPr>
          <w:szCs w:val="20"/>
        </w:rPr>
        <w:br/>
      </w:r>
      <w:r w:rsidRPr="00D865AF">
        <w:rPr>
          <w:szCs w:val="20"/>
        </w:rPr>
        <w:br/>
        <w:t>and</w:t>
      </w:r>
      <w:r w:rsidRPr="00D865AF">
        <w:rPr>
          <w:szCs w:val="20"/>
        </w:rPr>
        <w:br/>
      </w:r>
    </w:p>
    <w:p w14:paraId="380B6C42" w14:textId="77777777" w:rsidR="00CE60E3" w:rsidRPr="00D865AF" w:rsidRDefault="00CE60E3" w:rsidP="006A464A">
      <w:pPr>
        <w:pStyle w:val="ListParagraph"/>
        <w:widowControl w:val="0"/>
        <w:numPr>
          <w:ilvl w:val="0"/>
          <w:numId w:val="22"/>
        </w:numPr>
        <w:autoSpaceDE w:val="0"/>
        <w:autoSpaceDN w:val="0"/>
        <w:ind w:left="1134" w:right="117" w:hanging="425"/>
        <w:contextualSpacing w:val="0"/>
        <w:rPr>
          <w:szCs w:val="20"/>
        </w:rPr>
      </w:pPr>
      <w:r w:rsidRPr="00D865AF">
        <w:rPr>
          <w:szCs w:val="20"/>
        </w:rPr>
        <w:t>multilateral co-productions involving three or more independent co-producers established in different Parties to the Convention, and which may involve one or more other co-producers.</w:t>
      </w:r>
    </w:p>
    <w:p w14:paraId="2944ECEE" w14:textId="77777777" w:rsidR="00CE60E3" w:rsidRPr="006B464B" w:rsidRDefault="00CE60E3" w:rsidP="006A464A">
      <w:pPr>
        <w:pStyle w:val="ListParagraph"/>
        <w:ind w:left="851"/>
        <w:rPr>
          <w:szCs w:val="20"/>
        </w:rPr>
      </w:pPr>
    </w:p>
    <w:p w14:paraId="7A2933A5" w14:textId="77777777" w:rsidR="006A464A" w:rsidRDefault="006A464A">
      <w:pPr>
        <w:rPr>
          <w:szCs w:val="20"/>
        </w:rPr>
      </w:pPr>
      <w:r>
        <w:rPr>
          <w:szCs w:val="20"/>
        </w:rPr>
        <w:br w:type="page"/>
      </w:r>
    </w:p>
    <w:p w14:paraId="54422ED7" w14:textId="5A5496C7" w:rsidR="00CE60E3" w:rsidRPr="001A090E" w:rsidRDefault="00CE60E3" w:rsidP="006A464A">
      <w:pPr>
        <w:rPr>
          <w:szCs w:val="20"/>
        </w:rPr>
      </w:pPr>
      <w:r w:rsidRPr="001A090E">
        <w:rPr>
          <w:szCs w:val="20"/>
        </w:rPr>
        <w:t>In all cases, this Convention shall apply only on condition that the work meets the definition of an officially co-produced audiovisual work in the form of series, as defined in Article 3, sub-paragraph f, below.</w:t>
      </w:r>
    </w:p>
    <w:p w14:paraId="0A0BD9C8" w14:textId="77777777" w:rsidR="00CE60E3" w:rsidRPr="006B464B" w:rsidRDefault="00CE60E3" w:rsidP="006A464A">
      <w:pPr>
        <w:rPr>
          <w:szCs w:val="20"/>
        </w:rPr>
      </w:pPr>
    </w:p>
    <w:p w14:paraId="03AE81CF" w14:textId="77777777" w:rsidR="00CE60E3" w:rsidRPr="006B464B" w:rsidRDefault="00CE60E3" w:rsidP="006A464A">
      <w:pPr>
        <w:pStyle w:val="ListParagraph"/>
        <w:widowControl w:val="0"/>
        <w:numPr>
          <w:ilvl w:val="2"/>
          <w:numId w:val="9"/>
        </w:numPr>
        <w:autoSpaceDE w:val="0"/>
        <w:autoSpaceDN w:val="0"/>
        <w:ind w:left="0" w:right="117" w:firstLine="0"/>
        <w:contextualSpacing w:val="0"/>
        <w:rPr>
          <w:szCs w:val="20"/>
        </w:rPr>
      </w:pPr>
      <w:r w:rsidRPr="006B464B">
        <w:rPr>
          <w:szCs w:val="20"/>
        </w:rPr>
        <w:t xml:space="preserve">In the case of multilateral co-productions, the provisions of this Convention shall override those of bilateral agreements between the Parties to the Convention. </w:t>
      </w:r>
    </w:p>
    <w:p w14:paraId="58B6A5DC" w14:textId="19AF3B9A" w:rsidR="001A090E" w:rsidRDefault="001A090E" w:rsidP="006A464A">
      <w:pPr>
        <w:rPr>
          <w:szCs w:val="20"/>
        </w:rPr>
      </w:pPr>
    </w:p>
    <w:p w14:paraId="7205C395" w14:textId="0CD7B4EC" w:rsidR="00CE60E3" w:rsidRPr="006B464B" w:rsidRDefault="00CE60E3" w:rsidP="006A464A">
      <w:pPr>
        <w:pStyle w:val="ListParagraph"/>
        <w:widowControl w:val="0"/>
        <w:numPr>
          <w:ilvl w:val="2"/>
          <w:numId w:val="9"/>
        </w:numPr>
        <w:autoSpaceDE w:val="0"/>
        <w:autoSpaceDN w:val="0"/>
        <w:ind w:left="0" w:right="117" w:firstLine="0"/>
        <w:contextualSpacing w:val="0"/>
        <w:rPr>
          <w:szCs w:val="20"/>
        </w:rPr>
      </w:pPr>
      <w:r w:rsidRPr="006B464B">
        <w:rPr>
          <w:szCs w:val="20"/>
        </w:rPr>
        <w:t xml:space="preserve">The provisions of the bilateral agreements concluded between the Parties to this Convention, which are relevant to audiovisual works in the form of series, shall </w:t>
      </w:r>
      <w:r w:rsidRPr="005A142D">
        <w:rPr>
          <w:szCs w:val="20"/>
        </w:rPr>
        <w:t>apply</w:t>
      </w:r>
      <w:r w:rsidRPr="006B464B">
        <w:rPr>
          <w:szCs w:val="20"/>
        </w:rPr>
        <w:t xml:space="preserve"> to bilateral </w:t>
      </w:r>
      <w:r w:rsidR="00F43459">
        <w:rPr>
          <w:szCs w:val="20"/>
        </w:rPr>
        <w:br/>
      </w:r>
      <w:r w:rsidRPr="006B464B">
        <w:rPr>
          <w:szCs w:val="20"/>
        </w:rPr>
        <w:t>co-productions unless the Parties concerned decide to apply this Convention.</w:t>
      </w:r>
    </w:p>
    <w:p w14:paraId="622D2316" w14:textId="77777777" w:rsidR="00CE60E3" w:rsidRPr="006B464B" w:rsidRDefault="00CE60E3" w:rsidP="006A464A">
      <w:pPr>
        <w:pStyle w:val="BodyText"/>
        <w:rPr>
          <w:lang w:val="en-GB"/>
        </w:rPr>
      </w:pPr>
    </w:p>
    <w:p w14:paraId="78A7FBD9" w14:textId="77777777" w:rsidR="00CE60E3" w:rsidRPr="006B464B" w:rsidRDefault="00CE60E3" w:rsidP="006A464A">
      <w:pPr>
        <w:pStyle w:val="Heading1"/>
        <w:ind w:left="0"/>
        <w:rPr>
          <w:lang w:val="en-GB"/>
        </w:rPr>
      </w:pPr>
      <w:bookmarkStart w:id="5" w:name="_Ref114220451"/>
      <w:r w:rsidRPr="006B464B">
        <w:rPr>
          <w:lang w:val="en-GB"/>
        </w:rPr>
        <w:t>Article 3 – Definitions</w:t>
      </w:r>
      <w:bookmarkEnd w:id="5"/>
    </w:p>
    <w:p w14:paraId="5F75B382" w14:textId="77777777" w:rsidR="00CE60E3" w:rsidRPr="006B464B" w:rsidRDefault="00CE60E3" w:rsidP="006A464A">
      <w:pPr>
        <w:pStyle w:val="BodyText"/>
        <w:rPr>
          <w:b/>
          <w:lang w:val="en-GB"/>
        </w:rPr>
      </w:pPr>
    </w:p>
    <w:p w14:paraId="41746FD9" w14:textId="77777777" w:rsidR="00CE60E3" w:rsidRPr="006B464B" w:rsidRDefault="00CE60E3" w:rsidP="006A464A">
      <w:pPr>
        <w:pStyle w:val="BodyText"/>
        <w:rPr>
          <w:lang w:val="en-GB"/>
        </w:rPr>
      </w:pPr>
      <w:r w:rsidRPr="006B464B">
        <w:rPr>
          <w:lang w:val="en-GB"/>
        </w:rPr>
        <w:t>For the purposes of this Convention:</w:t>
      </w:r>
    </w:p>
    <w:p w14:paraId="2AF3A7B5" w14:textId="77777777" w:rsidR="00CE60E3" w:rsidRPr="006B464B" w:rsidRDefault="00CE60E3" w:rsidP="006A464A">
      <w:pPr>
        <w:pStyle w:val="BodyText"/>
        <w:rPr>
          <w:lang w:val="en-GB"/>
        </w:rPr>
      </w:pPr>
    </w:p>
    <w:p w14:paraId="6075965B" w14:textId="77777777" w:rsidR="00CE60E3" w:rsidRPr="006B464B" w:rsidRDefault="00CE60E3" w:rsidP="006A464A">
      <w:pPr>
        <w:pStyle w:val="ListParagraph"/>
        <w:widowControl w:val="0"/>
        <w:numPr>
          <w:ilvl w:val="3"/>
          <w:numId w:val="9"/>
        </w:numPr>
        <w:autoSpaceDE w:val="0"/>
        <w:autoSpaceDN w:val="0"/>
        <w:ind w:left="1134" w:right="117" w:hanging="425"/>
        <w:contextualSpacing w:val="0"/>
      </w:pPr>
      <w:r w:rsidRPr="006B464B">
        <w:t xml:space="preserve">the term “audiovisual work in the form of a series” (hereinafter “series”) shall mean a scripted fiction, documentary or animation work, presented in a succession of episodes of any length, intended to be made available by linear or non-linear means by a media service </w:t>
      </w:r>
      <w:proofErr w:type="gramStart"/>
      <w:r w:rsidRPr="006B464B">
        <w:t>provider;</w:t>
      </w:r>
      <w:proofErr w:type="gramEnd"/>
    </w:p>
    <w:p w14:paraId="1A160577" w14:textId="77777777" w:rsidR="00CE60E3" w:rsidRPr="006B464B" w:rsidRDefault="00CE60E3" w:rsidP="006A464A">
      <w:pPr>
        <w:pStyle w:val="ListParagraph"/>
        <w:ind w:left="1134" w:hanging="425"/>
      </w:pPr>
    </w:p>
    <w:p w14:paraId="59DC68FE" w14:textId="77777777" w:rsidR="00CE60E3" w:rsidRPr="006B464B" w:rsidRDefault="00CE60E3" w:rsidP="006A464A">
      <w:pPr>
        <w:pStyle w:val="ListParagraph"/>
        <w:widowControl w:val="0"/>
        <w:numPr>
          <w:ilvl w:val="3"/>
          <w:numId w:val="9"/>
        </w:numPr>
        <w:autoSpaceDE w:val="0"/>
        <w:autoSpaceDN w:val="0"/>
        <w:ind w:left="1134" w:right="117" w:hanging="425"/>
        <w:contextualSpacing w:val="0"/>
      </w:pPr>
      <w:r w:rsidRPr="006B464B">
        <w:t>the term “media service provider” shall mean the natural or legal person that has editorial responsibility for the choice of audiovisual content of the audiovisual media service, and that determines the manner in which it is organised;</w:t>
      </w:r>
    </w:p>
    <w:p w14:paraId="77B4AC0A" w14:textId="77777777" w:rsidR="00CE60E3" w:rsidRPr="006B464B" w:rsidRDefault="00CE60E3" w:rsidP="006A464A">
      <w:pPr>
        <w:pStyle w:val="ListParagraph"/>
        <w:ind w:left="1134" w:hanging="425"/>
      </w:pPr>
    </w:p>
    <w:p w14:paraId="6938FEAE" w14:textId="77777777" w:rsidR="00CE60E3" w:rsidRPr="006B464B" w:rsidRDefault="00CE60E3" w:rsidP="006A464A">
      <w:pPr>
        <w:pStyle w:val="ListParagraph"/>
        <w:widowControl w:val="0"/>
        <w:numPr>
          <w:ilvl w:val="3"/>
          <w:numId w:val="9"/>
        </w:numPr>
        <w:autoSpaceDE w:val="0"/>
        <w:autoSpaceDN w:val="0"/>
        <w:ind w:left="1134" w:right="117" w:hanging="425"/>
        <w:contextualSpacing w:val="0"/>
      </w:pPr>
      <w:r w:rsidRPr="006B464B">
        <w:t>the term “season” shall mean a coherent group of episodes in the form of a sequence usually, but not exclusively, made available over a period of twelve months;</w:t>
      </w:r>
    </w:p>
    <w:p w14:paraId="4A8F4D93" w14:textId="77777777" w:rsidR="00CE60E3" w:rsidRPr="006B464B" w:rsidRDefault="00CE60E3" w:rsidP="006A464A">
      <w:pPr>
        <w:pStyle w:val="ListParagraph"/>
        <w:ind w:left="1134" w:hanging="425"/>
      </w:pPr>
    </w:p>
    <w:p w14:paraId="769FDD9C" w14:textId="77777777" w:rsidR="00CE60E3" w:rsidRPr="006B464B" w:rsidRDefault="00CE60E3" w:rsidP="006A464A">
      <w:pPr>
        <w:pStyle w:val="ListParagraph"/>
        <w:widowControl w:val="0"/>
        <w:numPr>
          <w:ilvl w:val="3"/>
          <w:numId w:val="9"/>
        </w:numPr>
        <w:autoSpaceDE w:val="0"/>
        <w:autoSpaceDN w:val="0"/>
        <w:ind w:left="1134" w:right="117" w:hanging="425"/>
        <w:contextualSpacing w:val="0"/>
      </w:pPr>
      <w:r w:rsidRPr="006B464B">
        <w:t>the term “co-producers” shall mean audiovisual production companies, media service providers or other actors bound by a co-production contract;</w:t>
      </w:r>
    </w:p>
    <w:p w14:paraId="6E05A860" w14:textId="77777777" w:rsidR="00CE60E3" w:rsidRPr="006B464B" w:rsidRDefault="00CE60E3" w:rsidP="006A464A">
      <w:pPr>
        <w:pStyle w:val="ListParagraph"/>
        <w:ind w:left="1134" w:hanging="425"/>
      </w:pPr>
    </w:p>
    <w:p w14:paraId="6A194AB5" w14:textId="77777777" w:rsidR="00CE60E3" w:rsidRPr="006B464B" w:rsidRDefault="00CE60E3" w:rsidP="006A464A">
      <w:pPr>
        <w:pStyle w:val="ListParagraph"/>
        <w:widowControl w:val="0"/>
        <w:numPr>
          <w:ilvl w:val="3"/>
          <w:numId w:val="9"/>
        </w:numPr>
        <w:autoSpaceDE w:val="0"/>
        <w:autoSpaceDN w:val="0"/>
        <w:ind w:left="1134" w:right="117" w:hanging="425"/>
        <w:contextualSpacing w:val="0"/>
      </w:pPr>
      <w:r w:rsidRPr="006B464B">
        <w:t>the term “independent co-producers” shall mean audiovisual production companies that are bound by a co-production</w:t>
      </w:r>
      <w:r w:rsidRPr="006B464B">
        <w:rPr>
          <w:spacing w:val="-19"/>
        </w:rPr>
        <w:t xml:space="preserve"> </w:t>
      </w:r>
      <w:r w:rsidRPr="006B464B">
        <w:t xml:space="preserve">contract and qualify as independent under the domestic law provisions of their countries of establishment or, </w:t>
      </w:r>
      <w:r w:rsidRPr="006B464B">
        <w:rPr>
          <w:szCs w:val="20"/>
        </w:rPr>
        <w:t>in the absence of such provisions,</w:t>
      </w:r>
      <w:r w:rsidRPr="006B464B">
        <w:t xml:space="preserve"> that satisfy the criteria of independence as set out in Appendix III;</w:t>
      </w:r>
      <w:r w:rsidRPr="006B464B">
        <w:tab/>
      </w:r>
    </w:p>
    <w:p w14:paraId="6753E7E1" w14:textId="77777777" w:rsidR="00CE60E3" w:rsidRPr="006B464B" w:rsidRDefault="00CE60E3" w:rsidP="006A464A">
      <w:pPr>
        <w:pStyle w:val="ListParagraph"/>
        <w:ind w:left="1134" w:hanging="425"/>
      </w:pPr>
    </w:p>
    <w:p w14:paraId="18F392AF" w14:textId="77777777" w:rsidR="00CE60E3" w:rsidRPr="006B464B" w:rsidRDefault="00CE60E3" w:rsidP="006A464A">
      <w:pPr>
        <w:pStyle w:val="ListParagraph"/>
        <w:widowControl w:val="0"/>
        <w:numPr>
          <w:ilvl w:val="3"/>
          <w:numId w:val="9"/>
        </w:numPr>
        <w:autoSpaceDE w:val="0"/>
        <w:autoSpaceDN w:val="0"/>
        <w:ind w:left="1134" w:right="117" w:hanging="425"/>
        <w:contextualSpacing w:val="0"/>
      </w:pPr>
      <w:r w:rsidRPr="006B464B">
        <w:t xml:space="preserve">the term “officially co-produced series” (hereinafter “the official co-production”) shall mean an audiovisual work in the form of a series which falls within the scope of this Convention and which is compliant with Articles 6 to 8 under Chapter II of this Convention and the </w:t>
      </w:r>
      <w:r>
        <w:t xml:space="preserve">criteria </w:t>
      </w:r>
      <w:r w:rsidRPr="006B464B">
        <w:t>laid down in Appendix I, which is an integral part of this</w:t>
      </w:r>
      <w:r w:rsidRPr="006B464B">
        <w:rPr>
          <w:spacing w:val="-4"/>
        </w:rPr>
        <w:t xml:space="preserve"> </w:t>
      </w:r>
      <w:r w:rsidRPr="006B464B">
        <w:t>Convention.</w:t>
      </w:r>
    </w:p>
    <w:p w14:paraId="534F0549" w14:textId="77777777" w:rsidR="00CE60E3" w:rsidRPr="006B464B" w:rsidRDefault="00CE60E3" w:rsidP="006A464A">
      <w:pPr>
        <w:pStyle w:val="BodyText"/>
        <w:tabs>
          <w:tab w:val="left" w:pos="1276"/>
        </w:tabs>
        <w:ind w:left="1276" w:hanging="425"/>
        <w:rPr>
          <w:lang w:val="en-GB"/>
        </w:rPr>
      </w:pPr>
    </w:p>
    <w:p w14:paraId="198AA6D3" w14:textId="77777777" w:rsidR="00CE60E3" w:rsidRPr="006B464B" w:rsidRDefault="00CE60E3" w:rsidP="006A464A">
      <w:pPr>
        <w:pStyle w:val="Heading1"/>
        <w:ind w:left="0"/>
        <w:rPr>
          <w:lang w:val="en-GB"/>
        </w:rPr>
      </w:pPr>
      <w:r w:rsidRPr="006B464B">
        <w:rPr>
          <w:lang w:val="en-GB"/>
        </w:rPr>
        <w:t>Chapter II – Rules applicable to official co-productions</w:t>
      </w:r>
      <w:r w:rsidRPr="006B464B">
        <w:rPr>
          <w:lang w:val="en-GB"/>
        </w:rPr>
        <w:br/>
      </w:r>
    </w:p>
    <w:p w14:paraId="772EB64E" w14:textId="167F716C" w:rsidR="00CE60E3" w:rsidRPr="006B464B" w:rsidRDefault="00CE60E3" w:rsidP="006A464A">
      <w:pPr>
        <w:pStyle w:val="Heading1"/>
        <w:ind w:left="0" w:right="3296"/>
        <w:rPr>
          <w:lang w:val="en-GB"/>
        </w:rPr>
      </w:pPr>
      <w:r w:rsidRPr="006B464B">
        <w:rPr>
          <w:lang w:val="en-GB"/>
        </w:rPr>
        <w:t>Article 4 – Assimilation to national works</w:t>
      </w:r>
      <w:r w:rsidR="006A464A">
        <w:rPr>
          <w:lang w:val="en-GB"/>
        </w:rPr>
        <w:br/>
      </w:r>
    </w:p>
    <w:p w14:paraId="5614BD61" w14:textId="4A4478F5" w:rsidR="00CE60E3" w:rsidRPr="006B464B" w:rsidRDefault="00CE60E3" w:rsidP="006A464A">
      <w:pPr>
        <w:pStyle w:val="ListParagraph"/>
        <w:widowControl w:val="0"/>
        <w:numPr>
          <w:ilvl w:val="2"/>
          <w:numId w:val="10"/>
        </w:numPr>
        <w:autoSpaceDE w:val="0"/>
        <w:autoSpaceDN w:val="0"/>
        <w:ind w:left="0" w:right="117" w:firstLine="0"/>
        <w:contextualSpacing w:val="0"/>
      </w:pPr>
      <w:r w:rsidRPr="006B464B">
        <w:t xml:space="preserve">The official co-production, as defined under Article 3, sub-paragraph f of this Convention, shall be eligible for the financial benefits granted to national works by the legislative and regulatory provisions in force in each of the Parties to this Convention that are participating in the </w:t>
      </w:r>
      <w:r w:rsidR="00F43459">
        <w:br/>
      </w:r>
      <w:r w:rsidRPr="006B464B">
        <w:t>co-production</w:t>
      </w:r>
      <w:r w:rsidRPr="006B464B">
        <w:rPr>
          <w:spacing w:val="-2"/>
        </w:rPr>
        <w:t xml:space="preserve"> </w:t>
      </w:r>
      <w:r w:rsidRPr="006B464B">
        <w:t>concerned.</w:t>
      </w:r>
    </w:p>
    <w:p w14:paraId="74B21391" w14:textId="77777777" w:rsidR="00CE60E3" w:rsidRPr="006B464B" w:rsidRDefault="00CE60E3" w:rsidP="006A464A">
      <w:pPr>
        <w:pStyle w:val="BodyText"/>
        <w:tabs>
          <w:tab w:val="left" w:pos="851"/>
        </w:tabs>
        <w:rPr>
          <w:sz w:val="24"/>
          <w:lang w:val="en-GB"/>
        </w:rPr>
      </w:pPr>
    </w:p>
    <w:p w14:paraId="6EA5A001" w14:textId="7A7C8822" w:rsidR="00CE60E3" w:rsidRPr="006B464B" w:rsidRDefault="00CE60E3" w:rsidP="006A464A">
      <w:pPr>
        <w:pStyle w:val="ListParagraph"/>
        <w:widowControl w:val="0"/>
        <w:numPr>
          <w:ilvl w:val="2"/>
          <w:numId w:val="10"/>
        </w:numPr>
        <w:autoSpaceDE w:val="0"/>
        <w:autoSpaceDN w:val="0"/>
        <w:ind w:left="0" w:right="117" w:firstLine="0"/>
        <w:contextualSpacing w:val="0"/>
      </w:pPr>
      <w:r w:rsidRPr="006B464B">
        <w:t>The financial benefits shall be granted to each independent co-producer by the Party in which the independent co-producer is established, insofar as the conditions and limits provided for by the legislative and regulatory provisions in force in that Party are complied with.</w:t>
      </w:r>
      <w:bookmarkStart w:id="6" w:name="_Ref114234726"/>
      <w:r w:rsidR="006A464A">
        <w:br/>
      </w:r>
    </w:p>
    <w:p w14:paraId="62F829CB" w14:textId="77777777" w:rsidR="00CE60E3" w:rsidRPr="006B464B" w:rsidRDefault="00CE60E3" w:rsidP="006A464A">
      <w:pPr>
        <w:tabs>
          <w:tab w:val="left" w:pos="809"/>
        </w:tabs>
        <w:rPr>
          <w:b/>
          <w:bCs/>
          <w:szCs w:val="20"/>
        </w:rPr>
      </w:pPr>
      <w:r w:rsidRPr="006B464B">
        <w:rPr>
          <w:b/>
          <w:bCs/>
        </w:rPr>
        <w:t xml:space="preserve">Article 5 – </w:t>
      </w:r>
      <w:r w:rsidRPr="006B464B">
        <w:rPr>
          <w:b/>
          <w:bCs/>
          <w:szCs w:val="20"/>
        </w:rPr>
        <w:t>Conditions for obtaining official co-production status</w:t>
      </w:r>
      <w:bookmarkEnd w:id="6"/>
    </w:p>
    <w:p w14:paraId="65682C15" w14:textId="77777777" w:rsidR="00CE60E3" w:rsidRPr="006B464B" w:rsidRDefault="00CE60E3" w:rsidP="006A464A">
      <w:pPr>
        <w:pStyle w:val="BodyText"/>
        <w:rPr>
          <w:b/>
          <w:sz w:val="24"/>
          <w:lang w:val="en-GB"/>
        </w:rPr>
      </w:pPr>
    </w:p>
    <w:p w14:paraId="68700B93" w14:textId="77777777" w:rsidR="00CE60E3" w:rsidRPr="006B464B" w:rsidRDefault="00CE60E3" w:rsidP="006A464A">
      <w:pPr>
        <w:pStyle w:val="ListParagraph"/>
        <w:widowControl w:val="0"/>
        <w:numPr>
          <w:ilvl w:val="2"/>
          <w:numId w:val="23"/>
        </w:numPr>
        <w:tabs>
          <w:tab w:val="left" w:pos="709"/>
        </w:tabs>
        <w:autoSpaceDE w:val="0"/>
        <w:autoSpaceDN w:val="0"/>
        <w:ind w:left="0" w:right="117" w:firstLine="0"/>
        <w:contextualSpacing w:val="0"/>
      </w:pPr>
      <w:r w:rsidRPr="006B464B">
        <w:t>Any official co-production shall be subject to the approval of the competent authorities of the Parties in which the independent co-producers are established, after consultation between the competent authorities and in accordance with the procedures laid down in Appendix II. This appendix shall form an integral part of this</w:t>
      </w:r>
      <w:r w:rsidRPr="006B464B">
        <w:rPr>
          <w:spacing w:val="-15"/>
        </w:rPr>
        <w:t xml:space="preserve"> </w:t>
      </w:r>
      <w:r w:rsidRPr="006B464B">
        <w:t>Convention.</w:t>
      </w:r>
    </w:p>
    <w:p w14:paraId="2D790076" w14:textId="77777777" w:rsidR="00CE60E3" w:rsidRPr="006B464B" w:rsidRDefault="00CE60E3" w:rsidP="006A464A">
      <w:pPr>
        <w:pStyle w:val="BodyText"/>
        <w:tabs>
          <w:tab w:val="left" w:pos="709"/>
        </w:tabs>
        <w:rPr>
          <w:sz w:val="24"/>
          <w:lang w:val="en-GB"/>
        </w:rPr>
      </w:pPr>
    </w:p>
    <w:p w14:paraId="16138497" w14:textId="77777777" w:rsidR="00CE60E3" w:rsidRPr="006B464B" w:rsidRDefault="00CE60E3" w:rsidP="006A464A">
      <w:pPr>
        <w:pStyle w:val="ListParagraph"/>
        <w:widowControl w:val="0"/>
        <w:numPr>
          <w:ilvl w:val="2"/>
          <w:numId w:val="23"/>
        </w:numPr>
        <w:tabs>
          <w:tab w:val="left" w:pos="709"/>
        </w:tabs>
        <w:autoSpaceDE w:val="0"/>
        <w:autoSpaceDN w:val="0"/>
        <w:ind w:left="0" w:right="117" w:firstLine="0"/>
        <w:contextualSpacing w:val="0"/>
      </w:pPr>
      <w:bookmarkStart w:id="7" w:name="_Ref114234818"/>
      <w:r w:rsidRPr="006B464B">
        <w:t>Applications for official co-production status shall be submitted for approval to the competent authorities according to the application procedure laid down in Appendix II. This approval shall be final except in the case of failure to comply with the initial undertakings concerning artistic, financial or technical</w:t>
      </w:r>
      <w:r w:rsidRPr="006B464B">
        <w:rPr>
          <w:spacing w:val="-3"/>
        </w:rPr>
        <w:t xml:space="preserve"> </w:t>
      </w:r>
      <w:r w:rsidRPr="006B464B">
        <w:t>matters.</w:t>
      </w:r>
      <w:bookmarkEnd w:id="7"/>
    </w:p>
    <w:p w14:paraId="05D2408B" w14:textId="728E43C1" w:rsidR="006A464A" w:rsidRDefault="006A464A">
      <w:pPr>
        <w:rPr>
          <w:rFonts w:eastAsia="Arial" w:cs="Arial"/>
          <w:sz w:val="24"/>
          <w:szCs w:val="20"/>
          <w:lang w:eastAsia="fr-FR" w:bidi="fr-FR"/>
        </w:rPr>
      </w:pPr>
      <w:r>
        <w:rPr>
          <w:sz w:val="24"/>
        </w:rPr>
        <w:br w:type="page"/>
      </w:r>
    </w:p>
    <w:p w14:paraId="6E02C400" w14:textId="77777777" w:rsidR="00CE60E3" w:rsidRPr="006B464B" w:rsidRDefault="00CE60E3" w:rsidP="006A464A">
      <w:pPr>
        <w:pStyle w:val="ListParagraph"/>
        <w:widowControl w:val="0"/>
        <w:numPr>
          <w:ilvl w:val="2"/>
          <w:numId w:val="23"/>
        </w:numPr>
        <w:tabs>
          <w:tab w:val="left" w:pos="709"/>
        </w:tabs>
        <w:autoSpaceDE w:val="0"/>
        <w:autoSpaceDN w:val="0"/>
        <w:ind w:left="0" w:right="118" w:firstLine="0"/>
        <w:contextualSpacing w:val="0"/>
      </w:pPr>
      <w:r w:rsidRPr="006B464B">
        <w:t>Series of a blatantly pornographic nature or those that advocate discrimination, hate or violence, or that seriously violate human dignity cannot be accorded official co-production</w:t>
      </w:r>
      <w:r w:rsidRPr="006B464B">
        <w:rPr>
          <w:spacing w:val="-19"/>
        </w:rPr>
        <w:t xml:space="preserve"> </w:t>
      </w:r>
      <w:r w:rsidRPr="006B464B">
        <w:t>status.</w:t>
      </w:r>
    </w:p>
    <w:p w14:paraId="7B2613FB" w14:textId="322EF375" w:rsidR="007C02D9" w:rsidRDefault="007C02D9" w:rsidP="006A464A">
      <w:pPr>
        <w:rPr>
          <w:rFonts w:eastAsia="Arial" w:cs="Arial"/>
          <w:sz w:val="24"/>
          <w:szCs w:val="20"/>
          <w:lang w:eastAsia="fr-FR" w:bidi="fr-FR"/>
        </w:rPr>
      </w:pPr>
    </w:p>
    <w:p w14:paraId="7ED9783E" w14:textId="3FE123D3" w:rsidR="00CE60E3" w:rsidRPr="006B464B" w:rsidRDefault="00CE60E3" w:rsidP="006A464A">
      <w:pPr>
        <w:pStyle w:val="ListParagraph"/>
        <w:widowControl w:val="0"/>
        <w:numPr>
          <w:ilvl w:val="2"/>
          <w:numId w:val="23"/>
        </w:numPr>
        <w:tabs>
          <w:tab w:val="left" w:pos="709"/>
        </w:tabs>
        <w:autoSpaceDE w:val="0"/>
        <w:autoSpaceDN w:val="0"/>
        <w:ind w:left="0" w:right="117" w:firstLine="0"/>
        <w:contextualSpacing w:val="0"/>
      </w:pPr>
      <w:r w:rsidRPr="006B464B">
        <w:t xml:space="preserve">The benefits provided by official co-production status shall be granted to independent </w:t>
      </w:r>
      <w:r w:rsidR="00F43459">
        <w:br/>
      </w:r>
      <w:r w:rsidRPr="006B464B">
        <w:t>co-producers who are deemed to possess adequate technical and financial means, and sufficient professional qualifications.</w:t>
      </w:r>
    </w:p>
    <w:p w14:paraId="77E6F0A9" w14:textId="77777777" w:rsidR="00CE60E3" w:rsidRPr="006B464B" w:rsidRDefault="00CE60E3" w:rsidP="006A464A">
      <w:pPr>
        <w:pStyle w:val="BodyText"/>
        <w:tabs>
          <w:tab w:val="left" w:pos="709"/>
        </w:tabs>
        <w:rPr>
          <w:sz w:val="24"/>
          <w:lang w:val="en-GB"/>
        </w:rPr>
      </w:pPr>
    </w:p>
    <w:p w14:paraId="71AB7343" w14:textId="77777777" w:rsidR="00CE60E3" w:rsidRPr="006B464B" w:rsidRDefault="00CE60E3" w:rsidP="006A464A">
      <w:pPr>
        <w:pStyle w:val="ListParagraph"/>
        <w:widowControl w:val="0"/>
        <w:numPr>
          <w:ilvl w:val="2"/>
          <w:numId w:val="23"/>
        </w:numPr>
        <w:tabs>
          <w:tab w:val="left" w:pos="709"/>
        </w:tabs>
        <w:autoSpaceDE w:val="0"/>
        <w:autoSpaceDN w:val="0"/>
        <w:ind w:left="0" w:right="118" w:firstLine="0"/>
        <w:contextualSpacing w:val="0"/>
      </w:pPr>
      <w:r w:rsidRPr="006B464B">
        <w:t>Each Contracting State shall designate the competent authorities mentioned above by means of a declaration made at the time of signature or when depositing its instrument of ratification, acceptance, approval or accession. This declaration may be modified at any time</w:t>
      </w:r>
      <w:r w:rsidRPr="006B464B">
        <w:rPr>
          <w:spacing w:val="-4"/>
        </w:rPr>
        <w:t xml:space="preserve"> </w:t>
      </w:r>
      <w:r w:rsidRPr="006B464B">
        <w:t>afterwards.</w:t>
      </w:r>
      <w:r w:rsidRPr="006B464B">
        <w:br/>
      </w:r>
      <w:r w:rsidRPr="006B464B">
        <w:rPr>
          <w:sz w:val="16"/>
        </w:rPr>
        <w:br/>
      </w:r>
    </w:p>
    <w:p w14:paraId="5971B285" w14:textId="77777777" w:rsidR="00CE60E3" w:rsidRPr="006B464B" w:rsidRDefault="00CE60E3" w:rsidP="006A464A">
      <w:pPr>
        <w:pStyle w:val="Heading1"/>
        <w:ind w:left="0"/>
        <w:rPr>
          <w:lang w:val="en-GB"/>
        </w:rPr>
      </w:pPr>
      <w:r w:rsidRPr="006B464B">
        <w:rPr>
          <w:lang w:val="en-GB"/>
        </w:rPr>
        <w:t xml:space="preserve">Article 6 – Proportions of the financial contributions </w:t>
      </w:r>
      <w:r w:rsidRPr="006B464B">
        <w:rPr>
          <w:lang w:val="en-GB"/>
        </w:rPr>
        <w:br/>
      </w:r>
    </w:p>
    <w:p w14:paraId="79DA88C8" w14:textId="77777777" w:rsidR="00CE60E3" w:rsidRPr="007C02D9" w:rsidRDefault="00CE60E3" w:rsidP="006A464A">
      <w:pPr>
        <w:pStyle w:val="ListParagraph"/>
        <w:widowControl w:val="0"/>
        <w:numPr>
          <w:ilvl w:val="2"/>
          <w:numId w:val="24"/>
        </w:numPr>
        <w:tabs>
          <w:tab w:val="left" w:pos="709"/>
        </w:tabs>
        <w:autoSpaceDE w:val="0"/>
        <w:autoSpaceDN w:val="0"/>
        <w:ind w:left="0" w:right="117" w:firstLine="0"/>
        <w:contextualSpacing w:val="0"/>
        <w:rPr>
          <w:sz w:val="24"/>
        </w:rPr>
      </w:pPr>
      <w:r w:rsidRPr="007C02D9">
        <w:t xml:space="preserve">In the case of bilateral co-productions, the minimum financial contribution from a co-producer or co-producers </w:t>
      </w:r>
      <w:bookmarkStart w:id="8" w:name="_Hlk169862236"/>
      <w:r w:rsidRPr="007C02D9">
        <w:t>established</w:t>
      </w:r>
      <w:bookmarkEnd w:id="8"/>
      <w:r w:rsidRPr="007C02D9">
        <w:t xml:space="preserve"> in one Party may not be less than 10% and the largest financial contribution may not exceed 90% of the total production cost of the series. </w:t>
      </w:r>
    </w:p>
    <w:p w14:paraId="4FBE5325" w14:textId="77777777" w:rsidR="00CE60E3" w:rsidRPr="007C02D9" w:rsidRDefault="00CE60E3" w:rsidP="006A464A">
      <w:pPr>
        <w:pStyle w:val="ListParagraph"/>
        <w:tabs>
          <w:tab w:val="left" w:pos="709"/>
        </w:tabs>
        <w:ind w:left="0"/>
        <w:rPr>
          <w:sz w:val="24"/>
        </w:rPr>
      </w:pPr>
    </w:p>
    <w:p w14:paraId="5388A142" w14:textId="77777777" w:rsidR="00CE60E3" w:rsidRPr="007C02D9" w:rsidRDefault="00CE60E3" w:rsidP="006A464A">
      <w:pPr>
        <w:pStyle w:val="ListParagraph"/>
        <w:widowControl w:val="0"/>
        <w:numPr>
          <w:ilvl w:val="2"/>
          <w:numId w:val="24"/>
        </w:numPr>
        <w:tabs>
          <w:tab w:val="left" w:pos="709"/>
        </w:tabs>
        <w:autoSpaceDE w:val="0"/>
        <w:autoSpaceDN w:val="0"/>
        <w:ind w:left="0" w:right="117" w:firstLine="0"/>
        <w:contextualSpacing w:val="0"/>
      </w:pPr>
      <w:r w:rsidRPr="007C02D9">
        <w:t>In the case of multilateral co-productions, the minimum financial contribution from a co-producer or co-producers established in one Party may not be less than 5% and the maximum financial contribution may not exceed 80% of the total production cost of</w:t>
      </w:r>
      <w:r w:rsidRPr="007C02D9">
        <w:rPr>
          <w:spacing w:val="8"/>
        </w:rPr>
        <w:t xml:space="preserve"> </w:t>
      </w:r>
      <w:r w:rsidRPr="007C02D9">
        <w:t xml:space="preserve">the series. </w:t>
      </w:r>
    </w:p>
    <w:p w14:paraId="3B9F539E" w14:textId="77777777" w:rsidR="00CE60E3" w:rsidRPr="006B464B" w:rsidRDefault="00CE60E3" w:rsidP="006A464A">
      <w:pPr>
        <w:tabs>
          <w:tab w:val="left" w:pos="809"/>
        </w:tabs>
        <w:rPr>
          <w:sz w:val="24"/>
        </w:rPr>
      </w:pPr>
    </w:p>
    <w:p w14:paraId="6A57AACA" w14:textId="77777777" w:rsidR="00CE60E3" w:rsidRPr="006B464B" w:rsidRDefault="00CE60E3" w:rsidP="006A464A">
      <w:pPr>
        <w:pStyle w:val="Heading1"/>
        <w:ind w:left="0"/>
        <w:rPr>
          <w:lang w:val="en-GB"/>
        </w:rPr>
      </w:pPr>
      <w:bookmarkStart w:id="9" w:name="_Ref114149529"/>
      <w:r w:rsidRPr="006B464B">
        <w:rPr>
          <w:lang w:val="en-GB"/>
        </w:rPr>
        <w:t xml:space="preserve">Article 7 – Rights of co-producers to the </w:t>
      </w:r>
      <w:bookmarkEnd w:id="9"/>
      <w:r w:rsidRPr="006B464B">
        <w:rPr>
          <w:lang w:val="en-GB"/>
        </w:rPr>
        <w:t>series</w:t>
      </w:r>
    </w:p>
    <w:p w14:paraId="403FF1C8" w14:textId="77777777" w:rsidR="00CE60E3" w:rsidRPr="006B464B" w:rsidRDefault="00CE60E3" w:rsidP="006A464A">
      <w:pPr>
        <w:pStyle w:val="Heading1"/>
        <w:rPr>
          <w:lang w:val="en-GB"/>
        </w:rPr>
      </w:pPr>
    </w:p>
    <w:p w14:paraId="702B5CCC" w14:textId="77777777" w:rsidR="00CE60E3" w:rsidRPr="006B464B" w:rsidRDefault="00CE60E3" w:rsidP="006A464A">
      <w:pPr>
        <w:pStyle w:val="Heading1"/>
        <w:numPr>
          <w:ilvl w:val="2"/>
          <w:numId w:val="25"/>
        </w:numPr>
        <w:tabs>
          <w:tab w:val="left" w:pos="709"/>
        </w:tabs>
        <w:ind w:left="0" w:firstLine="0"/>
        <w:rPr>
          <w:b w:val="0"/>
          <w:bCs w:val="0"/>
          <w:lang w:val="en-GB"/>
        </w:rPr>
      </w:pPr>
      <w:r w:rsidRPr="006B464B">
        <w:rPr>
          <w:b w:val="0"/>
          <w:bCs w:val="0"/>
          <w:lang w:val="en-GB"/>
        </w:rPr>
        <w:t xml:space="preserve">The co-production contract must guarantee to each independent co-producer an ownership share of rights to the finished work. The allocation of shares should </w:t>
      </w:r>
      <w:proofErr w:type="gramStart"/>
      <w:r w:rsidRPr="006B464B">
        <w:rPr>
          <w:b w:val="0"/>
          <w:bCs w:val="0"/>
          <w:lang w:val="en-GB"/>
        </w:rPr>
        <w:t>take into account</w:t>
      </w:r>
      <w:proofErr w:type="gramEnd"/>
      <w:r w:rsidRPr="006B464B">
        <w:rPr>
          <w:b w:val="0"/>
          <w:bCs w:val="0"/>
          <w:lang w:val="en-GB"/>
        </w:rPr>
        <w:t xml:space="preserve"> the respective financial contributions of the independent co-producers and their creative and technical expenditures.</w:t>
      </w:r>
      <w:r w:rsidRPr="006B464B">
        <w:rPr>
          <w:b w:val="0"/>
          <w:bCs w:val="0"/>
          <w:lang w:val="en-GB"/>
        </w:rPr>
        <w:tab/>
      </w:r>
      <w:r w:rsidRPr="006B464B">
        <w:rPr>
          <w:b w:val="0"/>
          <w:bCs w:val="0"/>
          <w:lang w:val="en-GB"/>
        </w:rPr>
        <w:br/>
        <w:t xml:space="preserve"> </w:t>
      </w:r>
    </w:p>
    <w:p w14:paraId="4A93E177" w14:textId="77777777" w:rsidR="00CE60E3" w:rsidRPr="006B464B" w:rsidRDefault="00CE60E3" w:rsidP="006A464A">
      <w:pPr>
        <w:pStyle w:val="Heading1"/>
        <w:numPr>
          <w:ilvl w:val="2"/>
          <w:numId w:val="25"/>
        </w:numPr>
        <w:tabs>
          <w:tab w:val="left" w:pos="709"/>
        </w:tabs>
        <w:ind w:left="0" w:firstLine="0"/>
        <w:rPr>
          <w:b w:val="0"/>
          <w:bCs w:val="0"/>
          <w:lang w:val="en-GB"/>
        </w:rPr>
      </w:pPr>
      <w:r w:rsidRPr="006B464B">
        <w:rPr>
          <w:b w:val="0"/>
          <w:bCs w:val="0"/>
          <w:lang w:val="en-GB"/>
        </w:rPr>
        <w:t xml:space="preserve">The ownership share assigned to co-producers that are not established in a Party to the Convention may not exceed a total of 30%. </w:t>
      </w:r>
    </w:p>
    <w:p w14:paraId="263D66AD" w14:textId="77777777" w:rsidR="00CE60E3" w:rsidRPr="006B464B" w:rsidRDefault="00CE60E3" w:rsidP="006A464A">
      <w:pPr>
        <w:pStyle w:val="ListParagraph"/>
        <w:tabs>
          <w:tab w:val="left" w:pos="709"/>
        </w:tabs>
        <w:ind w:left="0"/>
        <w:rPr>
          <w:b/>
          <w:bCs/>
        </w:rPr>
      </w:pPr>
    </w:p>
    <w:p w14:paraId="1C98C986" w14:textId="77777777" w:rsidR="00CE60E3" w:rsidRPr="006B464B" w:rsidRDefault="00CE60E3" w:rsidP="006A464A">
      <w:pPr>
        <w:pStyle w:val="Heading1"/>
        <w:numPr>
          <w:ilvl w:val="2"/>
          <w:numId w:val="25"/>
        </w:numPr>
        <w:tabs>
          <w:tab w:val="left" w:pos="709"/>
        </w:tabs>
        <w:ind w:left="0" w:firstLine="0"/>
        <w:rPr>
          <w:b w:val="0"/>
          <w:bCs w:val="0"/>
          <w:lang w:val="en-GB"/>
        </w:rPr>
      </w:pPr>
      <w:r w:rsidRPr="006B464B">
        <w:rPr>
          <w:b w:val="0"/>
          <w:bCs w:val="0"/>
          <w:lang w:val="en-GB"/>
        </w:rPr>
        <w:t xml:space="preserve">A share of exploitation rights and revenues shall be assigned to each independent co-producer. Exploitation rights may not be licensed in perpetuity and the periods of licensing shall allow the independent co-producers to benefit from the residual value of the rights. </w:t>
      </w:r>
      <w:bookmarkStart w:id="10" w:name="_Ref114232012"/>
    </w:p>
    <w:p w14:paraId="2C77E8E1" w14:textId="77777777" w:rsidR="00CE60E3" w:rsidRPr="006B464B" w:rsidRDefault="00CE60E3" w:rsidP="006A464A">
      <w:pPr>
        <w:pStyle w:val="Heading1"/>
        <w:ind w:left="0"/>
        <w:rPr>
          <w:b w:val="0"/>
          <w:bCs w:val="0"/>
          <w:lang w:val="en-GB"/>
        </w:rPr>
      </w:pPr>
    </w:p>
    <w:p w14:paraId="0F2DD95B" w14:textId="77777777" w:rsidR="00CE60E3" w:rsidRPr="006B464B" w:rsidRDefault="00CE60E3" w:rsidP="006A464A">
      <w:pPr>
        <w:pStyle w:val="Heading1"/>
        <w:ind w:left="0"/>
        <w:rPr>
          <w:lang w:val="en-GB"/>
        </w:rPr>
      </w:pPr>
      <w:r w:rsidRPr="006B464B">
        <w:rPr>
          <w:lang w:val="en-GB"/>
        </w:rPr>
        <w:t>Article 8 – Technical and artistic participation</w:t>
      </w:r>
      <w:bookmarkEnd w:id="10"/>
    </w:p>
    <w:p w14:paraId="6CF834D3" w14:textId="77777777" w:rsidR="00CE60E3" w:rsidRPr="006B464B" w:rsidRDefault="00CE60E3" w:rsidP="006A464A">
      <w:pPr>
        <w:pStyle w:val="BodyText"/>
        <w:rPr>
          <w:b/>
          <w:sz w:val="24"/>
          <w:lang w:val="en-GB"/>
        </w:rPr>
      </w:pPr>
    </w:p>
    <w:p w14:paraId="090F6869" w14:textId="77777777" w:rsidR="00CE60E3" w:rsidRPr="006B464B" w:rsidRDefault="00CE60E3" w:rsidP="006A464A">
      <w:pPr>
        <w:pStyle w:val="ListParagraph"/>
        <w:widowControl w:val="0"/>
        <w:numPr>
          <w:ilvl w:val="2"/>
          <w:numId w:val="26"/>
        </w:numPr>
        <w:tabs>
          <w:tab w:val="left" w:pos="709"/>
        </w:tabs>
        <w:autoSpaceDE w:val="0"/>
        <w:autoSpaceDN w:val="0"/>
        <w:ind w:left="0" w:right="116" w:firstLine="0"/>
        <w:contextualSpacing w:val="0"/>
        <w:rPr>
          <w:strike/>
        </w:rPr>
      </w:pPr>
      <w:r w:rsidRPr="006B464B">
        <w:t>The series is initiated by at least one independent co-producer.</w:t>
      </w:r>
      <w:r w:rsidRPr="006B464B">
        <w:tab/>
      </w:r>
      <w:r w:rsidRPr="006B464B">
        <w:br/>
      </w:r>
    </w:p>
    <w:p w14:paraId="2F252B09" w14:textId="77777777" w:rsidR="00CE60E3" w:rsidRPr="006B464B" w:rsidRDefault="00CE60E3" w:rsidP="006A464A">
      <w:pPr>
        <w:pStyle w:val="ListParagraph"/>
        <w:widowControl w:val="0"/>
        <w:numPr>
          <w:ilvl w:val="2"/>
          <w:numId w:val="26"/>
        </w:numPr>
        <w:tabs>
          <w:tab w:val="left" w:pos="709"/>
        </w:tabs>
        <w:autoSpaceDE w:val="0"/>
        <w:autoSpaceDN w:val="0"/>
        <w:ind w:left="0" w:right="116" w:firstLine="0"/>
        <w:contextualSpacing w:val="0"/>
      </w:pPr>
      <w:r w:rsidRPr="006B464B">
        <w:t>The contribution of each of the independent co-producers shall include effective technical and artistic participation.</w:t>
      </w:r>
      <w:r w:rsidRPr="006B464B">
        <w:tab/>
      </w:r>
      <w:r w:rsidRPr="006B464B">
        <w:br/>
      </w:r>
    </w:p>
    <w:p w14:paraId="3FF0B629" w14:textId="77777777" w:rsidR="00CE60E3" w:rsidRPr="006B464B" w:rsidRDefault="00CE60E3" w:rsidP="006A464A">
      <w:pPr>
        <w:pStyle w:val="ListParagraph"/>
        <w:widowControl w:val="0"/>
        <w:numPr>
          <w:ilvl w:val="2"/>
          <w:numId w:val="26"/>
        </w:numPr>
        <w:tabs>
          <w:tab w:val="left" w:pos="709"/>
        </w:tabs>
        <w:autoSpaceDE w:val="0"/>
        <w:autoSpaceDN w:val="0"/>
        <w:ind w:left="0" w:right="116" w:firstLine="0"/>
        <w:contextualSpacing w:val="0"/>
      </w:pPr>
      <w:r w:rsidRPr="006B464B">
        <w:rPr>
          <w:szCs w:val="20"/>
        </w:rPr>
        <w:t>The independent co-producers shall manage and participate in key creative and production decisions</w:t>
      </w:r>
      <w:r w:rsidRPr="006B464B">
        <w:t xml:space="preserve">. </w:t>
      </w:r>
    </w:p>
    <w:p w14:paraId="10891E16" w14:textId="77777777" w:rsidR="00CE60E3" w:rsidRPr="006B464B" w:rsidRDefault="00CE60E3" w:rsidP="006A464A">
      <w:pPr>
        <w:tabs>
          <w:tab w:val="left" w:pos="851"/>
        </w:tabs>
      </w:pPr>
    </w:p>
    <w:p w14:paraId="7753E7A3" w14:textId="77777777" w:rsidR="00CE60E3" w:rsidRPr="006B464B" w:rsidRDefault="00CE60E3" w:rsidP="006A464A">
      <w:pPr>
        <w:pStyle w:val="Heading1"/>
        <w:ind w:left="0"/>
        <w:rPr>
          <w:lang w:val="en-GB"/>
        </w:rPr>
      </w:pPr>
      <w:bookmarkStart w:id="11" w:name="_Ref114231761"/>
      <w:r w:rsidRPr="006B464B">
        <w:rPr>
          <w:lang w:val="en-GB"/>
        </w:rPr>
        <w:t xml:space="preserve">Article 9 – </w:t>
      </w:r>
      <w:bookmarkEnd w:id="11"/>
      <w:r w:rsidRPr="006B464B">
        <w:rPr>
          <w:lang w:val="en-GB"/>
        </w:rPr>
        <w:t xml:space="preserve">Understanding of the success and circulation of official co-productions  </w:t>
      </w:r>
      <w:r w:rsidRPr="006B464B">
        <w:rPr>
          <w:lang w:val="en-GB"/>
        </w:rPr>
        <w:br/>
      </w:r>
    </w:p>
    <w:p w14:paraId="68EA5A83" w14:textId="024B136C" w:rsidR="00CE60E3" w:rsidRPr="006B464B" w:rsidRDefault="00CE60E3" w:rsidP="006A464A">
      <w:pPr>
        <w:pStyle w:val="ListParagraph"/>
        <w:ind w:left="0" w:right="113"/>
        <w:rPr>
          <w:szCs w:val="20"/>
        </w:rPr>
      </w:pPr>
      <w:r w:rsidRPr="006B464B">
        <w:rPr>
          <w:szCs w:val="20"/>
        </w:rPr>
        <w:t xml:space="preserve">Media service providers and their subsidiaries involved in an official co-production shall provide audience data and information on the exploitation of series that have obtained official co-production status. </w:t>
      </w:r>
      <w:r w:rsidR="001A090E">
        <w:rPr>
          <w:szCs w:val="20"/>
        </w:rPr>
        <w:br/>
      </w:r>
      <w:r w:rsidRPr="006B464B">
        <w:rPr>
          <w:szCs w:val="20"/>
        </w:rPr>
        <w:t>This information shall be provided to all co-producers of the series and may be collected by the competent authorities, as defined in Article 5, paragraph 5, of this Convention, as far as relevant competition law allows.</w:t>
      </w:r>
    </w:p>
    <w:p w14:paraId="019F4F00" w14:textId="77777777" w:rsidR="00CE60E3" w:rsidRPr="006B464B" w:rsidRDefault="00CE60E3" w:rsidP="006A464A"/>
    <w:p w14:paraId="57A66CB2" w14:textId="77777777" w:rsidR="00CE60E3" w:rsidRPr="006B464B" w:rsidRDefault="00CE60E3" w:rsidP="006A464A">
      <w:pPr>
        <w:pStyle w:val="Heading1"/>
        <w:ind w:left="0"/>
        <w:rPr>
          <w:lang w:val="en-GB"/>
        </w:rPr>
      </w:pPr>
      <w:r w:rsidRPr="006B464B">
        <w:rPr>
          <w:lang w:val="en-GB"/>
        </w:rPr>
        <w:t>Article 10 – General balance of relations</w:t>
      </w:r>
    </w:p>
    <w:p w14:paraId="26A4BD43" w14:textId="77777777" w:rsidR="00CE60E3" w:rsidRPr="006B464B" w:rsidRDefault="00CE60E3" w:rsidP="006A464A">
      <w:pPr>
        <w:pStyle w:val="ListParagraph"/>
        <w:ind w:left="360"/>
        <w:rPr>
          <w:szCs w:val="20"/>
        </w:rPr>
      </w:pPr>
    </w:p>
    <w:p w14:paraId="18FD750E" w14:textId="77777777" w:rsidR="00CE60E3" w:rsidRPr="006B464B" w:rsidRDefault="00CE60E3" w:rsidP="006A464A">
      <w:pPr>
        <w:pStyle w:val="ListParagraph"/>
        <w:widowControl w:val="0"/>
        <w:numPr>
          <w:ilvl w:val="2"/>
          <w:numId w:val="27"/>
        </w:numPr>
        <w:tabs>
          <w:tab w:val="left" w:pos="709"/>
        </w:tabs>
        <w:autoSpaceDE w:val="0"/>
        <w:autoSpaceDN w:val="0"/>
        <w:ind w:left="0" w:right="117" w:firstLine="0"/>
        <w:contextualSpacing w:val="0"/>
        <w:rPr>
          <w:strike/>
          <w:szCs w:val="20"/>
        </w:rPr>
      </w:pPr>
      <w:r w:rsidRPr="006B464B">
        <w:rPr>
          <w:szCs w:val="20"/>
        </w:rPr>
        <w:t>A general balance must be maintained in the relations between the Parties, with regard both to the total amount invested and the artistic and technical participation in official co-productions.</w:t>
      </w:r>
    </w:p>
    <w:p w14:paraId="4E805906" w14:textId="77777777" w:rsidR="00CE60E3" w:rsidRPr="006B464B" w:rsidRDefault="00CE60E3" w:rsidP="006A464A">
      <w:pPr>
        <w:pStyle w:val="ListParagraph"/>
        <w:tabs>
          <w:tab w:val="left" w:pos="709"/>
        </w:tabs>
        <w:ind w:left="0"/>
        <w:rPr>
          <w:szCs w:val="20"/>
        </w:rPr>
      </w:pPr>
    </w:p>
    <w:p w14:paraId="485A0C35" w14:textId="12209A25" w:rsidR="00CE60E3" w:rsidRPr="006A464A" w:rsidRDefault="00CE60E3" w:rsidP="006A464A">
      <w:pPr>
        <w:pStyle w:val="ListParagraph"/>
        <w:widowControl w:val="0"/>
        <w:numPr>
          <w:ilvl w:val="2"/>
          <w:numId w:val="27"/>
        </w:numPr>
        <w:tabs>
          <w:tab w:val="left" w:pos="709"/>
        </w:tabs>
        <w:autoSpaceDE w:val="0"/>
        <w:autoSpaceDN w:val="0"/>
        <w:ind w:left="0" w:right="117" w:firstLine="0"/>
        <w:contextualSpacing w:val="0"/>
      </w:pPr>
      <w:r w:rsidRPr="006B464B">
        <w:rPr>
          <w:szCs w:val="20"/>
        </w:rPr>
        <w:t>A Party which, over a reasonable period, observes a deficit in its co-production relations with one or more other Parties may withhold its approval of a subsequent co-production until balanced relations with that Party or those Parties have been restored.</w:t>
      </w:r>
      <w:r w:rsidRPr="006B464B">
        <w:rPr>
          <w:szCs w:val="20"/>
        </w:rPr>
        <w:tab/>
        <w:t xml:space="preserve"> </w:t>
      </w:r>
      <w:r w:rsidRPr="006B464B">
        <w:rPr>
          <w:szCs w:val="20"/>
        </w:rPr>
        <w:br/>
      </w:r>
      <w:r w:rsidR="00097351">
        <w:rPr>
          <w:szCs w:val="20"/>
        </w:rPr>
        <w:br/>
      </w:r>
      <w:r w:rsidR="00097351">
        <w:rPr>
          <w:szCs w:val="20"/>
        </w:rPr>
        <w:br/>
      </w:r>
      <w:r w:rsidR="00097351">
        <w:rPr>
          <w:szCs w:val="20"/>
        </w:rPr>
        <w:br/>
      </w:r>
      <w:r w:rsidR="00097351">
        <w:rPr>
          <w:szCs w:val="20"/>
        </w:rPr>
        <w:br/>
      </w:r>
      <w:r w:rsidR="00097351">
        <w:rPr>
          <w:szCs w:val="20"/>
        </w:rPr>
        <w:br/>
      </w:r>
      <w:r w:rsidRPr="006A464A">
        <w:rPr>
          <w:b/>
          <w:bCs/>
        </w:rPr>
        <w:t>Article 11 – Entry and residence</w:t>
      </w:r>
    </w:p>
    <w:p w14:paraId="41932E70" w14:textId="77777777" w:rsidR="00CE60E3" w:rsidRPr="006B464B" w:rsidRDefault="00CE60E3" w:rsidP="006A464A"/>
    <w:p w14:paraId="466948B7" w14:textId="77777777" w:rsidR="00CE60E3" w:rsidRPr="006B464B" w:rsidRDefault="00CE60E3" w:rsidP="006A464A">
      <w:pPr>
        <w:pStyle w:val="ListParagraph"/>
        <w:ind w:left="0"/>
        <w:rPr>
          <w:szCs w:val="20"/>
        </w:rPr>
      </w:pPr>
      <w:r w:rsidRPr="006B464B">
        <w:rPr>
          <w:szCs w:val="20"/>
        </w:rPr>
        <w:t xml:space="preserve">In accordance with the laws, regulations and international obligations in force, each Party shall facilitate entry and residence, as well as the granting of work permits in its territory, for technical and artistic personnel from the other Parties that are participating in an official co-production. Similarly, each Party shall permit the temporary import and re-export of equipment necessary to the production and distribution of series falling within the scope of this Convention. </w:t>
      </w:r>
      <w:r w:rsidRPr="006B464B">
        <w:rPr>
          <w:szCs w:val="20"/>
        </w:rPr>
        <w:br/>
      </w:r>
    </w:p>
    <w:p w14:paraId="50178000" w14:textId="77777777" w:rsidR="00CE60E3" w:rsidRPr="006B464B" w:rsidRDefault="00CE60E3" w:rsidP="006A464A">
      <w:pPr>
        <w:pStyle w:val="Heading1"/>
        <w:ind w:left="0"/>
        <w:rPr>
          <w:lang w:val="en-GB"/>
        </w:rPr>
      </w:pPr>
      <w:r w:rsidRPr="006B464B">
        <w:rPr>
          <w:lang w:val="en-GB"/>
        </w:rPr>
        <w:t>Article 12 – Credits of co-producing countries</w:t>
      </w:r>
    </w:p>
    <w:p w14:paraId="309672F1" w14:textId="77777777" w:rsidR="00CE60E3" w:rsidRPr="006B464B" w:rsidRDefault="00CE60E3" w:rsidP="006A464A">
      <w:pPr>
        <w:rPr>
          <w:szCs w:val="20"/>
        </w:rPr>
      </w:pPr>
    </w:p>
    <w:p w14:paraId="16C45375" w14:textId="77777777" w:rsidR="00CE60E3" w:rsidRPr="006B464B" w:rsidRDefault="00CE60E3" w:rsidP="006A464A">
      <w:pPr>
        <w:pStyle w:val="ListParagraph"/>
        <w:widowControl w:val="0"/>
        <w:numPr>
          <w:ilvl w:val="2"/>
          <w:numId w:val="11"/>
        </w:numPr>
        <w:tabs>
          <w:tab w:val="left" w:pos="709"/>
        </w:tabs>
        <w:autoSpaceDE w:val="0"/>
        <w:autoSpaceDN w:val="0"/>
        <w:ind w:left="0" w:right="117" w:firstLine="0"/>
        <w:contextualSpacing w:val="0"/>
        <w:rPr>
          <w:szCs w:val="20"/>
        </w:rPr>
      </w:pPr>
      <w:r w:rsidRPr="006B464B">
        <w:rPr>
          <w:szCs w:val="20"/>
        </w:rPr>
        <w:t>Co-producing countries shall be credited in official co-productions.</w:t>
      </w:r>
    </w:p>
    <w:p w14:paraId="04C2630F" w14:textId="77777777" w:rsidR="00CE60E3" w:rsidRPr="006B464B" w:rsidRDefault="00CE60E3" w:rsidP="006A464A">
      <w:pPr>
        <w:tabs>
          <w:tab w:val="left" w:pos="709"/>
        </w:tabs>
        <w:rPr>
          <w:szCs w:val="20"/>
        </w:rPr>
      </w:pPr>
    </w:p>
    <w:p w14:paraId="305EE8BA" w14:textId="22C75657" w:rsidR="00CE60E3" w:rsidRPr="006B464B" w:rsidRDefault="00CE60E3" w:rsidP="006A464A">
      <w:pPr>
        <w:pStyle w:val="ListParagraph"/>
        <w:widowControl w:val="0"/>
        <w:numPr>
          <w:ilvl w:val="2"/>
          <w:numId w:val="11"/>
        </w:numPr>
        <w:tabs>
          <w:tab w:val="left" w:pos="709"/>
        </w:tabs>
        <w:autoSpaceDE w:val="0"/>
        <w:autoSpaceDN w:val="0"/>
        <w:ind w:left="0" w:right="117" w:firstLine="0"/>
        <w:contextualSpacing w:val="0"/>
        <w:rPr>
          <w:szCs w:val="20"/>
        </w:rPr>
      </w:pPr>
      <w:r w:rsidRPr="006B464B">
        <w:rPr>
          <w:szCs w:val="20"/>
        </w:rPr>
        <w:t xml:space="preserve">The names of these countries shall be clearly mentioned in the credit titles, in all publicity and promotion material and when official co-productions are made available to the public. </w:t>
      </w:r>
      <w:r w:rsidR="006A464A">
        <w:rPr>
          <w:szCs w:val="20"/>
        </w:rPr>
        <w:br/>
      </w:r>
    </w:p>
    <w:p w14:paraId="4412FCD7" w14:textId="77777777" w:rsidR="00CE60E3" w:rsidRPr="006B464B" w:rsidRDefault="00CE60E3" w:rsidP="006A464A">
      <w:pPr>
        <w:pStyle w:val="Heading1"/>
        <w:ind w:left="0"/>
        <w:rPr>
          <w:lang w:val="en-GB"/>
        </w:rPr>
      </w:pPr>
      <w:r w:rsidRPr="006B464B">
        <w:rPr>
          <w:lang w:val="en-GB"/>
        </w:rPr>
        <w:t>Article 13 – Export</w:t>
      </w:r>
    </w:p>
    <w:p w14:paraId="277A92B5" w14:textId="77777777" w:rsidR="00CE60E3" w:rsidRPr="006B464B" w:rsidRDefault="00CE60E3" w:rsidP="006A464A"/>
    <w:p w14:paraId="245AF1FD" w14:textId="77777777" w:rsidR="00CE60E3" w:rsidRPr="001A090E" w:rsidRDefault="00CE60E3" w:rsidP="006A464A">
      <w:pPr>
        <w:rPr>
          <w:szCs w:val="20"/>
        </w:rPr>
      </w:pPr>
      <w:r w:rsidRPr="001A090E">
        <w:rPr>
          <w:szCs w:val="20"/>
        </w:rPr>
        <w:t xml:space="preserve">When an official co-production is exported to a country where imports of series are subject to quotas and one of the co-producing Parties does not have the right of free entry for its series to the importing country: </w:t>
      </w:r>
    </w:p>
    <w:p w14:paraId="50022E48" w14:textId="77777777" w:rsidR="00CE60E3" w:rsidRPr="006B464B" w:rsidRDefault="00CE60E3" w:rsidP="006A464A"/>
    <w:p w14:paraId="7EB662E9" w14:textId="77777777" w:rsidR="00CE60E3" w:rsidRPr="006B464B" w:rsidRDefault="00CE60E3" w:rsidP="006A464A">
      <w:pPr>
        <w:pStyle w:val="NoSpacing"/>
        <w:numPr>
          <w:ilvl w:val="0"/>
          <w:numId w:val="21"/>
        </w:numPr>
        <w:ind w:left="993" w:hanging="284"/>
        <w:rPr>
          <w:sz w:val="20"/>
          <w:szCs w:val="20"/>
          <w:lang w:val="en-GB"/>
        </w:rPr>
      </w:pPr>
      <w:r w:rsidRPr="006B464B">
        <w:rPr>
          <w:sz w:val="20"/>
          <w:szCs w:val="20"/>
          <w:lang w:val="en-GB"/>
        </w:rPr>
        <w:t xml:space="preserve">the official co-production shall normally be added to the quota of the country which has the majority financial </w:t>
      </w:r>
      <w:proofErr w:type="gramStart"/>
      <w:r w:rsidRPr="006B464B">
        <w:rPr>
          <w:sz w:val="20"/>
          <w:szCs w:val="20"/>
          <w:lang w:val="en-GB"/>
        </w:rPr>
        <w:t>participation;</w:t>
      </w:r>
      <w:proofErr w:type="gramEnd"/>
    </w:p>
    <w:p w14:paraId="35FD6DEB" w14:textId="77777777" w:rsidR="00CE60E3" w:rsidRPr="006B464B" w:rsidRDefault="00CE60E3" w:rsidP="006A464A">
      <w:pPr>
        <w:pStyle w:val="NoSpacing"/>
        <w:ind w:left="993" w:hanging="284"/>
        <w:rPr>
          <w:sz w:val="20"/>
          <w:szCs w:val="20"/>
          <w:lang w:val="en-GB"/>
        </w:rPr>
      </w:pPr>
    </w:p>
    <w:p w14:paraId="566EB227" w14:textId="77777777" w:rsidR="00CE60E3" w:rsidRPr="006B464B" w:rsidRDefault="00CE60E3" w:rsidP="006A464A">
      <w:pPr>
        <w:pStyle w:val="NoSpacing"/>
        <w:numPr>
          <w:ilvl w:val="0"/>
          <w:numId w:val="21"/>
        </w:numPr>
        <w:ind w:left="993" w:hanging="284"/>
        <w:rPr>
          <w:sz w:val="20"/>
          <w:szCs w:val="20"/>
          <w:lang w:val="en-GB"/>
        </w:rPr>
      </w:pPr>
      <w:r w:rsidRPr="006B464B">
        <w:rPr>
          <w:sz w:val="20"/>
          <w:szCs w:val="20"/>
          <w:lang w:val="en-GB"/>
        </w:rPr>
        <w:t xml:space="preserve">in the case of an official co-production which comprises an equal participation from different countries, the season shall be added to the quota of the country which has the best opportunities for exporting to the importing </w:t>
      </w:r>
      <w:proofErr w:type="gramStart"/>
      <w:r w:rsidRPr="006B464B">
        <w:rPr>
          <w:sz w:val="20"/>
          <w:szCs w:val="20"/>
          <w:lang w:val="en-GB"/>
        </w:rPr>
        <w:t>country;</w:t>
      </w:r>
      <w:proofErr w:type="gramEnd"/>
    </w:p>
    <w:p w14:paraId="6FB55D94" w14:textId="77777777" w:rsidR="00CE60E3" w:rsidRPr="006B464B" w:rsidRDefault="00CE60E3" w:rsidP="006A464A">
      <w:pPr>
        <w:pStyle w:val="NoSpacing"/>
        <w:ind w:left="993" w:hanging="284"/>
        <w:rPr>
          <w:sz w:val="20"/>
          <w:szCs w:val="20"/>
          <w:lang w:val="en-GB"/>
        </w:rPr>
      </w:pPr>
    </w:p>
    <w:p w14:paraId="1BD3E7AF" w14:textId="5C812CC1" w:rsidR="00CE60E3" w:rsidRPr="006B464B" w:rsidRDefault="00CE60E3" w:rsidP="006A464A">
      <w:pPr>
        <w:pStyle w:val="NoSpacing"/>
        <w:numPr>
          <w:ilvl w:val="0"/>
          <w:numId w:val="21"/>
        </w:numPr>
        <w:ind w:left="993" w:hanging="284"/>
        <w:rPr>
          <w:lang w:val="en-GB"/>
        </w:rPr>
      </w:pPr>
      <w:r w:rsidRPr="006B464B">
        <w:rPr>
          <w:sz w:val="20"/>
          <w:szCs w:val="20"/>
          <w:lang w:val="en-GB"/>
        </w:rPr>
        <w:t xml:space="preserve">when the provisions of sub-paragraphs a and b above cannot be applied, the official </w:t>
      </w:r>
      <w:r w:rsidR="001A090E">
        <w:rPr>
          <w:sz w:val="20"/>
          <w:szCs w:val="20"/>
          <w:lang w:val="en-GB"/>
        </w:rPr>
        <w:br/>
      </w:r>
      <w:r w:rsidRPr="006B464B">
        <w:rPr>
          <w:sz w:val="20"/>
          <w:szCs w:val="20"/>
          <w:lang w:val="en-GB"/>
        </w:rPr>
        <w:t>co-production shall be entered in the quota of the Party that provides the series creator.</w:t>
      </w:r>
    </w:p>
    <w:p w14:paraId="60C9F6C0" w14:textId="77777777" w:rsidR="006A464A" w:rsidRDefault="006A464A" w:rsidP="006A464A">
      <w:pPr>
        <w:pStyle w:val="NoSpacing"/>
        <w:rPr>
          <w:sz w:val="20"/>
          <w:szCs w:val="20"/>
          <w:lang w:val="en-GB"/>
        </w:rPr>
      </w:pPr>
    </w:p>
    <w:p w14:paraId="67850BC4" w14:textId="589B81A8" w:rsidR="00CE60E3" w:rsidRPr="006A464A" w:rsidRDefault="00CE60E3" w:rsidP="006A464A">
      <w:pPr>
        <w:pStyle w:val="NoSpacing"/>
        <w:rPr>
          <w:b/>
          <w:bCs/>
          <w:sz w:val="20"/>
          <w:szCs w:val="20"/>
          <w:lang w:val="en-GB"/>
        </w:rPr>
      </w:pPr>
      <w:r w:rsidRPr="006A464A">
        <w:rPr>
          <w:b/>
          <w:bCs/>
          <w:sz w:val="20"/>
          <w:szCs w:val="20"/>
          <w:lang w:val="en-GB"/>
        </w:rPr>
        <w:t>Article 14 – Languages</w:t>
      </w:r>
    </w:p>
    <w:p w14:paraId="76214EF8" w14:textId="77777777" w:rsidR="00CE60E3" w:rsidRPr="006B464B" w:rsidRDefault="00CE60E3" w:rsidP="006A464A"/>
    <w:p w14:paraId="76DF6817" w14:textId="77777777" w:rsidR="00CE60E3" w:rsidRPr="006B464B" w:rsidRDefault="00CE60E3" w:rsidP="006A464A">
      <w:pPr>
        <w:rPr>
          <w:szCs w:val="20"/>
        </w:rPr>
      </w:pPr>
      <w:r w:rsidRPr="006B464B">
        <w:rPr>
          <w:szCs w:val="20"/>
        </w:rPr>
        <w:t xml:space="preserve">When granting official co-production status, the competent authority of a Party may demand from the independent co-producer established therein a final version of the series in one of the languages of that Party. </w:t>
      </w:r>
    </w:p>
    <w:p w14:paraId="73A93F0D" w14:textId="77777777" w:rsidR="00CE60E3" w:rsidRPr="006B464B" w:rsidRDefault="00CE60E3" w:rsidP="006A464A"/>
    <w:p w14:paraId="3EE4C9F0" w14:textId="77777777" w:rsidR="00CE60E3" w:rsidRPr="006B464B" w:rsidRDefault="00CE60E3" w:rsidP="006A464A">
      <w:pPr>
        <w:pStyle w:val="Heading1"/>
        <w:ind w:left="0"/>
        <w:rPr>
          <w:lang w:val="en-GB"/>
        </w:rPr>
      </w:pPr>
      <w:r w:rsidRPr="006B464B">
        <w:rPr>
          <w:lang w:val="en-GB"/>
        </w:rPr>
        <w:t>Chapter III – Final provisions</w:t>
      </w:r>
    </w:p>
    <w:p w14:paraId="6A23CB89" w14:textId="77777777" w:rsidR="00CE60E3" w:rsidRPr="006B464B" w:rsidRDefault="00CE60E3" w:rsidP="006A464A">
      <w:pPr>
        <w:pStyle w:val="NoSpacing"/>
        <w:rPr>
          <w:lang w:val="en-GB"/>
        </w:rPr>
      </w:pPr>
    </w:p>
    <w:p w14:paraId="7A442E51" w14:textId="77777777" w:rsidR="00CE60E3" w:rsidRPr="006B464B" w:rsidRDefault="00CE60E3" w:rsidP="006A464A">
      <w:pPr>
        <w:pStyle w:val="Heading1"/>
        <w:ind w:left="0"/>
        <w:rPr>
          <w:lang w:val="en-GB"/>
        </w:rPr>
      </w:pPr>
      <w:r w:rsidRPr="006B464B">
        <w:rPr>
          <w:lang w:val="en-GB"/>
        </w:rPr>
        <w:t>Article 15 – Follow-up to the Convention and amendments to Appendices I, II and III</w:t>
      </w:r>
    </w:p>
    <w:p w14:paraId="24B1DAAE" w14:textId="77777777" w:rsidR="00CE60E3" w:rsidRPr="006B464B" w:rsidRDefault="00CE60E3" w:rsidP="006A464A">
      <w:pPr>
        <w:rPr>
          <w:szCs w:val="20"/>
        </w:rPr>
      </w:pPr>
    </w:p>
    <w:p w14:paraId="561F056C" w14:textId="2ED17D50" w:rsidR="00CE60E3" w:rsidRPr="00F234AF" w:rsidRDefault="00CE60E3" w:rsidP="006A464A">
      <w:pPr>
        <w:pStyle w:val="ListParagraph"/>
        <w:numPr>
          <w:ilvl w:val="0"/>
          <w:numId w:val="32"/>
        </w:numPr>
        <w:ind w:left="0" w:firstLine="0"/>
        <w:rPr>
          <w:szCs w:val="20"/>
        </w:rPr>
      </w:pPr>
      <w:r w:rsidRPr="00F234AF">
        <w:rPr>
          <w:szCs w:val="20"/>
        </w:rPr>
        <w:t xml:space="preserve">The Board of Management of the European Support Fund for the Co-production and Distribution of Creative Cinematographic and Audiovisual Works, “Eurimages” (hereinafter “the Board”), in its composition restricted to the Parties to this Convention, shall be responsible for the follow-up to this Convention. </w:t>
      </w:r>
      <w:r w:rsidR="00F234AF">
        <w:rPr>
          <w:szCs w:val="20"/>
        </w:rPr>
        <w:br/>
      </w:r>
    </w:p>
    <w:p w14:paraId="07D2107A" w14:textId="3F0C1318" w:rsidR="00CE60E3" w:rsidRPr="006B464B" w:rsidRDefault="00CE60E3" w:rsidP="006A464A">
      <w:pPr>
        <w:pStyle w:val="ListParagraph"/>
        <w:widowControl w:val="0"/>
        <w:numPr>
          <w:ilvl w:val="0"/>
          <w:numId w:val="32"/>
        </w:numPr>
        <w:autoSpaceDE w:val="0"/>
        <w:autoSpaceDN w:val="0"/>
        <w:ind w:left="0" w:right="117" w:firstLine="0"/>
        <w:contextualSpacing w:val="0"/>
        <w:rPr>
          <w:szCs w:val="20"/>
        </w:rPr>
      </w:pPr>
      <w:r w:rsidRPr="006B464B">
        <w:rPr>
          <w:szCs w:val="20"/>
        </w:rPr>
        <w:t>Any Party to this Convention which is not a member of “Eurimages” may be represented in the Board and have one vote in any meeting convened to carry out follow-up tasks.</w:t>
      </w:r>
      <w:r w:rsidR="006A464A">
        <w:rPr>
          <w:szCs w:val="20"/>
        </w:rPr>
        <w:br/>
      </w:r>
    </w:p>
    <w:p w14:paraId="20CED996" w14:textId="4D455669" w:rsidR="00CE60E3" w:rsidRPr="006B464B" w:rsidRDefault="00CE60E3" w:rsidP="006A464A">
      <w:pPr>
        <w:pStyle w:val="ListParagraph"/>
        <w:widowControl w:val="0"/>
        <w:numPr>
          <w:ilvl w:val="0"/>
          <w:numId w:val="32"/>
        </w:numPr>
        <w:autoSpaceDE w:val="0"/>
        <w:autoSpaceDN w:val="0"/>
        <w:ind w:left="0" w:right="117" w:firstLine="0"/>
        <w:contextualSpacing w:val="0"/>
        <w:rPr>
          <w:szCs w:val="20"/>
        </w:rPr>
      </w:pPr>
      <w:r w:rsidRPr="006B464B">
        <w:rPr>
          <w:szCs w:val="20"/>
        </w:rPr>
        <w:t>The Board</w:t>
      </w:r>
      <w:r>
        <w:rPr>
          <w:szCs w:val="20"/>
        </w:rPr>
        <w:t xml:space="preserve">, </w:t>
      </w:r>
      <w:r w:rsidRPr="00C57D30">
        <w:rPr>
          <w:szCs w:val="20"/>
        </w:rPr>
        <w:t xml:space="preserve">when meeting for the purpose of carrying out </w:t>
      </w:r>
      <w:r>
        <w:rPr>
          <w:szCs w:val="20"/>
        </w:rPr>
        <w:t xml:space="preserve">follow-up tasks, </w:t>
      </w:r>
      <w:r w:rsidRPr="006B464B">
        <w:rPr>
          <w:szCs w:val="20"/>
        </w:rPr>
        <w:t xml:space="preserve">shall be convened by the Secretary General of the Council of Europe whenever necessary and, in any case, when </w:t>
      </w:r>
      <w:proofErr w:type="gramStart"/>
      <w:r w:rsidRPr="006B464B">
        <w:rPr>
          <w:szCs w:val="20"/>
        </w:rPr>
        <w:t>a majority of</w:t>
      </w:r>
      <w:proofErr w:type="gramEnd"/>
      <w:r w:rsidRPr="006B464B">
        <w:rPr>
          <w:szCs w:val="20"/>
        </w:rPr>
        <w:t xml:space="preserve"> the Parties requests its convocation. </w:t>
      </w:r>
      <w:r w:rsidR="006A464A">
        <w:rPr>
          <w:szCs w:val="20"/>
        </w:rPr>
        <w:br/>
      </w:r>
    </w:p>
    <w:p w14:paraId="3A7E0AFC" w14:textId="7810DA0D" w:rsidR="00CE60E3" w:rsidRPr="006B464B" w:rsidRDefault="00CE60E3" w:rsidP="006A464A">
      <w:pPr>
        <w:pStyle w:val="ListParagraph"/>
        <w:widowControl w:val="0"/>
        <w:numPr>
          <w:ilvl w:val="0"/>
          <w:numId w:val="32"/>
        </w:numPr>
        <w:autoSpaceDE w:val="0"/>
        <w:autoSpaceDN w:val="0"/>
        <w:ind w:left="0" w:right="117" w:firstLine="0"/>
        <w:contextualSpacing w:val="0"/>
        <w:rPr>
          <w:szCs w:val="20"/>
        </w:rPr>
      </w:pPr>
      <w:r w:rsidRPr="006B464B">
        <w:rPr>
          <w:szCs w:val="20"/>
        </w:rPr>
        <w:t xml:space="preserve">The Board shall be promptly convened after the entry into force of the Convention in 10 States. </w:t>
      </w:r>
      <w:r w:rsidR="006A464A">
        <w:rPr>
          <w:szCs w:val="20"/>
        </w:rPr>
        <w:br/>
      </w:r>
    </w:p>
    <w:p w14:paraId="107847EE" w14:textId="398A11BE" w:rsidR="00CE60E3" w:rsidRPr="006B464B" w:rsidRDefault="00CE60E3" w:rsidP="006A464A">
      <w:pPr>
        <w:pStyle w:val="ListParagraph"/>
        <w:widowControl w:val="0"/>
        <w:numPr>
          <w:ilvl w:val="0"/>
          <w:numId w:val="32"/>
        </w:numPr>
        <w:autoSpaceDE w:val="0"/>
        <w:autoSpaceDN w:val="0"/>
        <w:ind w:left="0" w:right="117" w:firstLine="0"/>
        <w:contextualSpacing w:val="0"/>
        <w:rPr>
          <w:szCs w:val="20"/>
        </w:rPr>
      </w:pPr>
      <w:proofErr w:type="gramStart"/>
      <w:r w:rsidRPr="006B464B">
        <w:rPr>
          <w:szCs w:val="20"/>
        </w:rPr>
        <w:t>In order to</w:t>
      </w:r>
      <w:proofErr w:type="gramEnd"/>
      <w:r w:rsidRPr="006B464B">
        <w:rPr>
          <w:szCs w:val="20"/>
        </w:rPr>
        <w:t xml:space="preserve"> promote the effective application of th</w:t>
      </w:r>
      <w:r>
        <w:rPr>
          <w:szCs w:val="20"/>
        </w:rPr>
        <w:t>is</w:t>
      </w:r>
      <w:r w:rsidRPr="006B464B">
        <w:rPr>
          <w:szCs w:val="20"/>
        </w:rPr>
        <w:t xml:space="preserve"> Convention, the Board, </w:t>
      </w:r>
      <w:r>
        <w:rPr>
          <w:szCs w:val="20"/>
        </w:rPr>
        <w:t xml:space="preserve">when acting </w:t>
      </w:r>
      <w:r w:rsidRPr="006B464B">
        <w:rPr>
          <w:szCs w:val="20"/>
        </w:rPr>
        <w:t xml:space="preserve">within the meaning of the two previous paragraphs, may:  </w:t>
      </w:r>
      <w:r w:rsidR="006A464A">
        <w:rPr>
          <w:szCs w:val="20"/>
        </w:rPr>
        <w:br/>
      </w:r>
    </w:p>
    <w:p w14:paraId="716C3BE4" w14:textId="00D78AF5" w:rsidR="00CE60E3" w:rsidRPr="00F234AF" w:rsidRDefault="00CE60E3" w:rsidP="006A464A">
      <w:pPr>
        <w:pStyle w:val="ListParagraph"/>
        <w:widowControl w:val="0"/>
        <w:numPr>
          <w:ilvl w:val="0"/>
          <w:numId w:val="33"/>
        </w:numPr>
        <w:autoSpaceDE w:val="0"/>
        <w:autoSpaceDN w:val="0"/>
        <w:ind w:left="993" w:right="117" w:hanging="284"/>
        <w:rPr>
          <w:szCs w:val="20"/>
        </w:rPr>
      </w:pPr>
      <w:r w:rsidRPr="00F234AF">
        <w:rPr>
          <w:szCs w:val="20"/>
        </w:rPr>
        <w:t xml:space="preserve">make proposals to facilitate the exchange between the Parties of experience and good practice; </w:t>
      </w:r>
      <w:r w:rsidR="006A464A">
        <w:rPr>
          <w:szCs w:val="20"/>
        </w:rPr>
        <w:br/>
      </w:r>
    </w:p>
    <w:p w14:paraId="60429023" w14:textId="50875323" w:rsidR="00CE60E3" w:rsidRDefault="00CE60E3" w:rsidP="006A464A">
      <w:pPr>
        <w:pStyle w:val="ListParagraph"/>
        <w:numPr>
          <w:ilvl w:val="0"/>
          <w:numId w:val="33"/>
        </w:numPr>
        <w:ind w:left="993" w:hanging="284"/>
        <w:rPr>
          <w:szCs w:val="20"/>
        </w:rPr>
      </w:pPr>
      <w:r w:rsidRPr="00F234AF">
        <w:rPr>
          <w:szCs w:val="20"/>
        </w:rPr>
        <w:t xml:space="preserve">formulate its opinion on any question concerning the application and the implementation of this </w:t>
      </w:r>
      <w:proofErr w:type="gramStart"/>
      <w:r w:rsidRPr="00F234AF">
        <w:rPr>
          <w:szCs w:val="20"/>
        </w:rPr>
        <w:t>Convention, and</w:t>
      </w:r>
      <w:proofErr w:type="gramEnd"/>
      <w:r w:rsidRPr="00F234AF">
        <w:rPr>
          <w:szCs w:val="20"/>
        </w:rPr>
        <w:t xml:space="preserve"> make specific recommendations to the Parties in this respect. </w:t>
      </w:r>
    </w:p>
    <w:p w14:paraId="19E740B7" w14:textId="24936968" w:rsidR="00770BB1" w:rsidRDefault="00770BB1">
      <w:pPr>
        <w:rPr>
          <w:szCs w:val="20"/>
        </w:rPr>
      </w:pPr>
      <w:r>
        <w:rPr>
          <w:szCs w:val="20"/>
        </w:rPr>
        <w:br w:type="page"/>
      </w:r>
    </w:p>
    <w:p w14:paraId="463F741A" w14:textId="77777777" w:rsidR="00F234AF" w:rsidRPr="00F234AF" w:rsidRDefault="00F234AF" w:rsidP="006A464A">
      <w:pPr>
        <w:pStyle w:val="ListParagraph"/>
        <w:rPr>
          <w:szCs w:val="20"/>
        </w:rPr>
      </w:pPr>
    </w:p>
    <w:p w14:paraId="74A087B9" w14:textId="464430BA" w:rsidR="00CE60E3" w:rsidRPr="006B464B" w:rsidRDefault="00CE60E3" w:rsidP="006A464A">
      <w:pPr>
        <w:pStyle w:val="ListParagraph"/>
        <w:widowControl w:val="0"/>
        <w:numPr>
          <w:ilvl w:val="2"/>
          <w:numId w:val="34"/>
        </w:numPr>
        <w:autoSpaceDE w:val="0"/>
        <w:autoSpaceDN w:val="0"/>
        <w:ind w:left="0" w:right="117" w:firstLine="0"/>
        <w:contextualSpacing w:val="0"/>
        <w:rPr>
          <w:szCs w:val="20"/>
        </w:rPr>
      </w:pPr>
      <w:proofErr w:type="gramStart"/>
      <w:r w:rsidRPr="006B464B">
        <w:rPr>
          <w:szCs w:val="20"/>
        </w:rPr>
        <w:t>In order to</w:t>
      </w:r>
      <w:proofErr w:type="gramEnd"/>
      <w:r w:rsidRPr="006B464B">
        <w:rPr>
          <w:szCs w:val="20"/>
        </w:rPr>
        <w:t xml:space="preserve"> update the provisions of Appendices I, II and III of this Convention to ensure their continuing relevance to common practices in the series industry, amendments may be proposed by any Party, by the Committee of Ministers or by the Board in its restricted composition. These amendments shall be communicated by the Secretary General of the Council of Europe to the Parties. </w:t>
      </w:r>
      <w:r w:rsidR="006A464A">
        <w:rPr>
          <w:szCs w:val="20"/>
        </w:rPr>
        <w:br/>
      </w:r>
    </w:p>
    <w:p w14:paraId="4D83AB75" w14:textId="410E1E8C" w:rsidR="00CE60E3" w:rsidRPr="006B464B" w:rsidRDefault="00CE60E3" w:rsidP="006A464A">
      <w:pPr>
        <w:pStyle w:val="ListParagraph"/>
        <w:widowControl w:val="0"/>
        <w:numPr>
          <w:ilvl w:val="2"/>
          <w:numId w:val="34"/>
        </w:numPr>
        <w:autoSpaceDE w:val="0"/>
        <w:autoSpaceDN w:val="0"/>
        <w:ind w:left="0" w:right="117" w:firstLine="0"/>
        <w:contextualSpacing w:val="0"/>
        <w:rPr>
          <w:szCs w:val="20"/>
        </w:rPr>
      </w:pPr>
      <w:r w:rsidRPr="006B464B">
        <w:rPr>
          <w:szCs w:val="20"/>
        </w:rPr>
        <w:t xml:space="preserve">After having consulted the Parties, the Committee of Ministers may adopt an amendment proposed in accordance with paragraph 4 of this article by the majority provided for in Article 20.d of the Statute of the Council of Europe (ETS No. 1). The amendment shall enter into force following the expiry of a period of one year after the date on which it has been forwarded to the Parties. During this period, any Party may notify the Secretary General of any objection to the entry into force of the amendment in its respect. </w:t>
      </w:r>
      <w:r w:rsidR="006A464A">
        <w:rPr>
          <w:szCs w:val="20"/>
        </w:rPr>
        <w:br/>
      </w:r>
    </w:p>
    <w:p w14:paraId="4F558D08" w14:textId="55B6A591" w:rsidR="00CE60E3" w:rsidRPr="006B464B" w:rsidRDefault="00CE60E3" w:rsidP="006A464A">
      <w:pPr>
        <w:pStyle w:val="ListParagraph"/>
        <w:widowControl w:val="0"/>
        <w:numPr>
          <w:ilvl w:val="2"/>
          <w:numId w:val="34"/>
        </w:numPr>
        <w:autoSpaceDE w:val="0"/>
        <w:autoSpaceDN w:val="0"/>
        <w:ind w:left="0" w:right="117" w:firstLine="0"/>
        <w:contextualSpacing w:val="0"/>
        <w:rPr>
          <w:szCs w:val="20"/>
        </w:rPr>
      </w:pPr>
      <w:r w:rsidRPr="006B464B">
        <w:rPr>
          <w:szCs w:val="20"/>
        </w:rPr>
        <w:t xml:space="preserve">If one third of the Parties notify the Secretary General of the Council of Europe of an objection to the entry into force of the amendment, the amendment shall not enter into force. </w:t>
      </w:r>
      <w:r w:rsidR="006A464A">
        <w:rPr>
          <w:szCs w:val="20"/>
        </w:rPr>
        <w:br/>
      </w:r>
    </w:p>
    <w:p w14:paraId="20104A78" w14:textId="5AFA9B2B" w:rsidR="00CE60E3" w:rsidRPr="006B464B" w:rsidRDefault="00CE60E3" w:rsidP="006A464A">
      <w:pPr>
        <w:pStyle w:val="ListParagraph"/>
        <w:widowControl w:val="0"/>
        <w:numPr>
          <w:ilvl w:val="2"/>
          <w:numId w:val="34"/>
        </w:numPr>
        <w:autoSpaceDE w:val="0"/>
        <w:autoSpaceDN w:val="0"/>
        <w:ind w:left="0" w:right="117" w:firstLine="0"/>
        <w:contextualSpacing w:val="0"/>
        <w:rPr>
          <w:szCs w:val="20"/>
        </w:rPr>
      </w:pPr>
      <w:r w:rsidRPr="006B464B">
        <w:rPr>
          <w:szCs w:val="20"/>
        </w:rPr>
        <w:t xml:space="preserve">If less than one third of the Parties notify the Secretary General of an objection, the amendment shall enter into force for those Parties which have not made an objection. </w:t>
      </w:r>
      <w:r w:rsidR="006A464A">
        <w:rPr>
          <w:szCs w:val="20"/>
        </w:rPr>
        <w:br/>
      </w:r>
    </w:p>
    <w:p w14:paraId="2C0599EA" w14:textId="5B1FA540" w:rsidR="00CE60E3" w:rsidRPr="006B464B" w:rsidRDefault="00CE60E3" w:rsidP="006A464A">
      <w:pPr>
        <w:pStyle w:val="ListParagraph"/>
        <w:widowControl w:val="0"/>
        <w:numPr>
          <w:ilvl w:val="2"/>
          <w:numId w:val="34"/>
        </w:numPr>
        <w:autoSpaceDE w:val="0"/>
        <w:autoSpaceDN w:val="0"/>
        <w:ind w:left="0" w:right="117" w:firstLine="0"/>
        <w:contextualSpacing w:val="0"/>
        <w:rPr>
          <w:szCs w:val="20"/>
        </w:rPr>
      </w:pPr>
      <w:r w:rsidRPr="006B464B">
        <w:rPr>
          <w:szCs w:val="20"/>
        </w:rPr>
        <w:t xml:space="preserve">Once an amendment has entered into force in accordance with paragraphs 5 and 7 of this </w:t>
      </w:r>
      <w:proofErr w:type="gramStart"/>
      <w:r w:rsidRPr="006B464B">
        <w:rPr>
          <w:szCs w:val="20"/>
        </w:rPr>
        <w:t>article</w:t>
      </w:r>
      <w:proofErr w:type="gramEnd"/>
      <w:r w:rsidRPr="006B464B">
        <w:rPr>
          <w:szCs w:val="20"/>
        </w:rPr>
        <w:t xml:space="preserve">, and a Party has made an objection to it, this amendment shall come into force in respect of the Party concerned on the first day of the month following the date on which the Party has notified the Secretary General of the Council of Europe of its acceptance of the amendment. A Party which has made an objection may withdraw it at any time by notifying the Secretary General of the Council of Europe. </w:t>
      </w:r>
      <w:r w:rsidR="006A464A">
        <w:rPr>
          <w:szCs w:val="20"/>
        </w:rPr>
        <w:br/>
      </w:r>
    </w:p>
    <w:p w14:paraId="6DEE61F3" w14:textId="68135FEA" w:rsidR="00CE60E3" w:rsidRPr="006B464B" w:rsidRDefault="00CE60E3" w:rsidP="006A464A">
      <w:pPr>
        <w:pStyle w:val="ListParagraph"/>
        <w:widowControl w:val="0"/>
        <w:numPr>
          <w:ilvl w:val="2"/>
          <w:numId w:val="34"/>
        </w:numPr>
        <w:autoSpaceDE w:val="0"/>
        <w:autoSpaceDN w:val="0"/>
        <w:ind w:left="0" w:right="117" w:firstLine="0"/>
        <w:contextualSpacing w:val="0"/>
        <w:rPr>
          <w:szCs w:val="20"/>
        </w:rPr>
      </w:pPr>
      <w:r w:rsidRPr="006B464B">
        <w:rPr>
          <w:szCs w:val="20"/>
        </w:rPr>
        <w:t xml:space="preserve">If the Committee of Ministers adopts an amendment, a State may not express its consent to be bound by the Convention without accepting at the same time the amendment. </w:t>
      </w:r>
      <w:r w:rsidR="006A464A">
        <w:rPr>
          <w:szCs w:val="20"/>
        </w:rPr>
        <w:br/>
      </w:r>
    </w:p>
    <w:p w14:paraId="6D308D1A" w14:textId="77777777" w:rsidR="00CE60E3" w:rsidRPr="00770BB1" w:rsidRDefault="00CE60E3" w:rsidP="006A464A">
      <w:pPr>
        <w:pStyle w:val="Heading1"/>
        <w:ind w:left="0"/>
      </w:pPr>
      <w:r w:rsidRPr="00770BB1">
        <w:t xml:space="preserve">Article 16 – Signature, ratification, acceptance, </w:t>
      </w:r>
      <w:proofErr w:type="spellStart"/>
      <w:r w:rsidRPr="00770BB1">
        <w:t>approval</w:t>
      </w:r>
      <w:proofErr w:type="spellEnd"/>
    </w:p>
    <w:p w14:paraId="7AA218F3" w14:textId="77777777" w:rsidR="00CE60E3" w:rsidRPr="00770BB1" w:rsidRDefault="00CE60E3" w:rsidP="006A464A">
      <w:pPr>
        <w:pStyle w:val="NoSpacing"/>
        <w:rPr>
          <w:sz w:val="20"/>
          <w:szCs w:val="20"/>
        </w:rPr>
      </w:pPr>
    </w:p>
    <w:p w14:paraId="37A421E2" w14:textId="77777777" w:rsidR="00CE60E3" w:rsidRPr="006B464B" w:rsidRDefault="00CE60E3" w:rsidP="006A464A">
      <w:pPr>
        <w:pStyle w:val="ListParagraph"/>
        <w:widowControl w:val="0"/>
        <w:numPr>
          <w:ilvl w:val="2"/>
          <w:numId w:val="35"/>
        </w:numPr>
        <w:autoSpaceDE w:val="0"/>
        <w:autoSpaceDN w:val="0"/>
        <w:ind w:left="0" w:right="117" w:firstLine="0"/>
        <w:contextualSpacing w:val="0"/>
        <w:rPr>
          <w:szCs w:val="20"/>
        </w:rPr>
      </w:pPr>
      <w:r w:rsidRPr="006B464B">
        <w:rPr>
          <w:szCs w:val="20"/>
        </w:rPr>
        <w:t xml:space="preserve">This Convention shall be open for signature by the member States of the Council of Europe and the other States Parties to the European Cultural Convention, which may express their consent to be bound by: </w:t>
      </w:r>
    </w:p>
    <w:p w14:paraId="2EB49B77" w14:textId="77777777" w:rsidR="00CE60E3" w:rsidRPr="006B464B" w:rsidRDefault="00CE60E3" w:rsidP="006A464A">
      <w:pPr>
        <w:pStyle w:val="ListParagraph"/>
        <w:ind w:left="785"/>
        <w:rPr>
          <w:szCs w:val="20"/>
        </w:rPr>
      </w:pPr>
    </w:p>
    <w:p w14:paraId="61BCFF31" w14:textId="77777777" w:rsidR="00CE60E3" w:rsidRPr="006B464B" w:rsidRDefault="00CE60E3" w:rsidP="006A464A">
      <w:pPr>
        <w:pStyle w:val="ListParagraph"/>
        <w:widowControl w:val="0"/>
        <w:numPr>
          <w:ilvl w:val="3"/>
          <w:numId w:val="12"/>
        </w:numPr>
        <w:autoSpaceDE w:val="0"/>
        <w:autoSpaceDN w:val="0"/>
        <w:ind w:left="993" w:right="117" w:hanging="284"/>
        <w:contextualSpacing w:val="0"/>
        <w:rPr>
          <w:szCs w:val="20"/>
        </w:rPr>
      </w:pPr>
      <w:r w:rsidRPr="006B464B">
        <w:rPr>
          <w:szCs w:val="20"/>
        </w:rPr>
        <w:t>signature without reservation as to ratification, acceptance or approval; or</w:t>
      </w:r>
    </w:p>
    <w:p w14:paraId="2A96E846" w14:textId="77777777" w:rsidR="00CE60E3" w:rsidRPr="006B464B" w:rsidRDefault="00CE60E3" w:rsidP="006A464A">
      <w:pPr>
        <w:pStyle w:val="ListParagraph"/>
        <w:ind w:left="993" w:hanging="284"/>
        <w:rPr>
          <w:szCs w:val="20"/>
        </w:rPr>
      </w:pPr>
    </w:p>
    <w:p w14:paraId="7A59875D" w14:textId="77777777" w:rsidR="00CE60E3" w:rsidRPr="006B464B" w:rsidRDefault="00CE60E3" w:rsidP="006A464A">
      <w:pPr>
        <w:pStyle w:val="ListParagraph"/>
        <w:widowControl w:val="0"/>
        <w:numPr>
          <w:ilvl w:val="3"/>
          <w:numId w:val="12"/>
        </w:numPr>
        <w:autoSpaceDE w:val="0"/>
        <w:autoSpaceDN w:val="0"/>
        <w:ind w:left="993" w:right="117" w:hanging="284"/>
        <w:contextualSpacing w:val="0"/>
        <w:rPr>
          <w:szCs w:val="20"/>
        </w:rPr>
      </w:pPr>
      <w:r w:rsidRPr="006B464B">
        <w:rPr>
          <w:szCs w:val="20"/>
        </w:rPr>
        <w:t xml:space="preserve">signature, subject to ratification, acceptance or approval, followed by ratification, acceptance or approval. </w:t>
      </w:r>
    </w:p>
    <w:p w14:paraId="57AAF4FE" w14:textId="77777777" w:rsidR="00CE60E3" w:rsidRPr="006B464B" w:rsidRDefault="00CE60E3" w:rsidP="006A464A">
      <w:pPr>
        <w:rPr>
          <w:szCs w:val="20"/>
        </w:rPr>
      </w:pPr>
    </w:p>
    <w:p w14:paraId="54859801" w14:textId="77777777" w:rsidR="00CE60E3" w:rsidRPr="006B464B" w:rsidRDefault="00CE60E3" w:rsidP="006A464A">
      <w:pPr>
        <w:pStyle w:val="ListParagraph"/>
        <w:widowControl w:val="0"/>
        <w:numPr>
          <w:ilvl w:val="2"/>
          <w:numId w:val="36"/>
        </w:numPr>
        <w:autoSpaceDE w:val="0"/>
        <w:autoSpaceDN w:val="0"/>
        <w:ind w:left="0" w:right="117" w:firstLine="0"/>
        <w:contextualSpacing w:val="0"/>
        <w:rPr>
          <w:szCs w:val="20"/>
        </w:rPr>
      </w:pPr>
      <w:r w:rsidRPr="006B464B">
        <w:rPr>
          <w:szCs w:val="20"/>
        </w:rPr>
        <w:t>Instruments of ratification, acceptance or approval shall be deposited with the Secretary General of the Council of Europe.</w:t>
      </w:r>
    </w:p>
    <w:p w14:paraId="24252F23" w14:textId="77777777" w:rsidR="00CE60E3" w:rsidRPr="006B464B" w:rsidRDefault="00CE60E3" w:rsidP="006A464A">
      <w:pPr>
        <w:pStyle w:val="NoSpacing"/>
        <w:ind w:left="284"/>
        <w:rPr>
          <w:lang w:val="en-GB"/>
        </w:rPr>
      </w:pPr>
    </w:p>
    <w:p w14:paraId="418E2436" w14:textId="77777777" w:rsidR="00CE60E3" w:rsidRPr="006B464B" w:rsidRDefault="00CE60E3" w:rsidP="006A464A">
      <w:pPr>
        <w:pStyle w:val="Heading1"/>
        <w:ind w:left="0"/>
        <w:rPr>
          <w:lang w:val="en-GB"/>
        </w:rPr>
      </w:pPr>
      <w:r w:rsidRPr="006B464B">
        <w:rPr>
          <w:lang w:val="en-GB"/>
        </w:rPr>
        <w:t>Article 17 – Entry into force</w:t>
      </w:r>
    </w:p>
    <w:p w14:paraId="051004F0" w14:textId="77777777" w:rsidR="00CE60E3" w:rsidRPr="006B464B" w:rsidRDefault="00CE60E3" w:rsidP="006A464A">
      <w:pPr>
        <w:pStyle w:val="NoSpacing"/>
        <w:rPr>
          <w:lang w:val="en-GB"/>
        </w:rPr>
      </w:pPr>
    </w:p>
    <w:p w14:paraId="529A0C15" w14:textId="77777777" w:rsidR="00CE60E3" w:rsidRPr="006B464B" w:rsidRDefault="00CE60E3" w:rsidP="006A464A">
      <w:pPr>
        <w:pStyle w:val="ListParagraph"/>
        <w:widowControl w:val="0"/>
        <w:numPr>
          <w:ilvl w:val="2"/>
          <w:numId w:val="13"/>
        </w:numPr>
        <w:autoSpaceDE w:val="0"/>
        <w:autoSpaceDN w:val="0"/>
        <w:ind w:left="0" w:right="117" w:firstLine="0"/>
        <w:contextualSpacing w:val="0"/>
        <w:rPr>
          <w:szCs w:val="20"/>
        </w:rPr>
      </w:pPr>
      <w:r w:rsidRPr="006B464B">
        <w:rPr>
          <w:szCs w:val="20"/>
        </w:rPr>
        <w:t xml:space="preserve">This Convention shall enter into force on the first day of the month following the expiration of a period of three months after the date on which three States, including at least two member States of the Council of Europe, have expressed their consent to be bound by the Convention, in accordance with the provisions of Article 16. </w:t>
      </w:r>
    </w:p>
    <w:p w14:paraId="7ACE5180" w14:textId="77777777" w:rsidR="00CE60E3" w:rsidRPr="006B464B" w:rsidRDefault="00CE60E3" w:rsidP="006A464A">
      <w:pPr>
        <w:rPr>
          <w:szCs w:val="20"/>
        </w:rPr>
      </w:pPr>
    </w:p>
    <w:p w14:paraId="58198D77" w14:textId="77777777" w:rsidR="00CE60E3" w:rsidRPr="006B464B" w:rsidRDefault="00CE60E3" w:rsidP="006A464A">
      <w:pPr>
        <w:pStyle w:val="ListParagraph"/>
        <w:widowControl w:val="0"/>
        <w:numPr>
          <w:ilvl w:val="2"/>
          <w:numId w:val="13"/>
        </w:numPr>
        <w:autoSpaceDE w:val="0"/>
        <w:autoSpaceDN w:val="0"/>
        <w:ind w:left="0" w:right="117" w:firstLine="0"/>
        <w:contextualSpacing w:val="0"/>
        <w:rPr>
          <w:szCs w:val="20"/>
        </w:rPr>
      </w:pPr>
      <w:r w:rsidRPr="006B464B">
        <w:rPr>
          <w:szCs w:val="20"/>
        </w:rPr>
        <w:t xml:space="preserve">In respect of any signatory State which subsequently expresses its consent to be bound by it, this Convention shall enter into force on the first day of the month following the expiration of a period of three months after the date of signature or the deposit of the instrument of ratification, acceptance or approval. </w:t>
      </w:r>
    </w:p>
    <w:p w14:paraId="6754F2B5" w14:textId="77777777" w:rsidR="00CE60E3" w:rsidRPr="006B464B" w:rsidRDefault="00CE60E3" w:rsidP="006A464A">
      <w:pPr>
        <w:pStyle w:val="NoSpacing"/>
        <w:rPr>
          <w:sz w:val="20"/>
          <w:szCs w:val="20"/>
          <w:lang w:val="en-GB"/>
        </w:rPr>
      </w:pPr>
    </w:p>
    <w:p w14:paraId="40EFF9D9" w14:textId="77777777" w:rsidR="00CE60E3" w:rsidRPr="006B464B" w:rsidRDefault="00CE60E3" w:rsidP="006A464A">
      <w:pPr>
        <w:pStyle w:val="Heading1"/>
        <w:ind w:left="0"/>
        <w:rPr>
          <w:lang w:val="en-GB"/>
        </w:rPr>
      </w:pPr>
      <w:r w:rsidRPr="006B464B">
        <w:rPr>
          <w:lang w:val="en-GB"/>
        </w:rPr>
        <w:t>Article 18 – Accession of non-member States</w:t>
      </w:r>
    </w:p>
    <w:p w14:paraId="5150C97B" w14:textId="77777777" w:rsidR="00CE60E3" w:rsidRPr="006B464B" w:rsidRDefault="00CE60E3" w:rsidP="006A464A"/>
    <w:p w14:paraId="234E50BF" w14:textId="77777777" w:rsidR="00CE60E3" w:rsidRPr="006B464B" w:rsidRDefault="00CE60E3" w:rsidP="006A464A">
      <w:pPr>
        <w:pStyle w:val="ListParagraph"/>
        <w:widowControl w:val="0"/>
        <w:numPr>
          <w:ilvl w:val="2"/>
          <w:numId w:val="14"/>
        </w:numPr>
        <w:autoSpaceDE w:val="0"/>
        <w:autoSpaceDN w:val="0"/>
        <w:ind w:left="0" w:right="117" w:firstLine="0"/>
        <w:contextualSpacing w:val="0"/>
        <w:rPr>
          <w:szCs w:val="20"/>
        </w:rPr>
      </w:pPr>
      <w:r w:rsidRPr="006B464B">
        <w:rPr>
          <w:szCs w:val="20"/>
        </w:rPr>
        <w:t xml:space="preserve">After the entry into force of this Convention, the Committee of Ministers of the Council of Europe may, after consultation of the Parties, invite any State which is not a member of the Council of Europe to accede to this Convention, by a decision taken by the majority provided for in Article 20.d of the Statute of the Council of Europe and by the unanimous vote of the representatives of the Contracting States entitled to sit on the Committee of Ministers. </w:t>
      </w:r>
    </w:p>
    <w:p w14:paraId="0E7C79CB" w14:textId="77777777" w:rsidR="00CE60E3" w:rsidRPr="006B464B" w:rsidRDefault="00CE60E3" w:rsidP="006A464A">
      <w:pPr>
        <w:rPr>
          <w:szCs w:val="20"/>
        </w:rPr>
      </w:pPr>
    </w:p>
    <w:p w14:paraId="58592262" w14:textId="77777777" w:rsidR="00CE60E3" w:rsidRDefault="00CE60E3" w:rsidP="006A464A">
      <w:pPr>
        <w:pStyle w:val="ListParagraph"/>
        <w:widowControl w:val="0"/>
        <w:numPr>
          <w:ilvl w:val="2"/>
          <w:numId w:val="14"/>
        </w:numPr>
        <w:autoSpaceDE w:val="0"/>
        <w:autoSpaceDN w:val="0"/>
        <w:ind w:left="0" w:right="117" w:firstLine="0"/>
        <w:contextualSpacing w:val="0"/>
        <w:rPr>
          <w:szCs w:val="20"/>
        </w:rPr>
      </w:pPr>
      <w:r w:rsidRPr="006B464B">
        <w:rPr>
          <w:szCs w:val="20"/>
        </w:rPr>
        <w:t xml:space="preserve">In respect of any acceding State, this Convention shall enter into force on the first day of the month following the expiration of a period of three months after the date of deposit of the instrument of accession with the Secretary General of the Council of Europe. </w:t>
      </w:r>
    </w:p>
    <w:p w14:paraId="6E88E7EF" w14:textId="77777777" w:rsidR="00CE60E3" w:rsidRPr="006B464B" w:rsidRDefault="00CE60E3" w:rsidP="00F43459">
      <w:pPr>
        <w:pStyle w:val="ListParagraph"/>
        <w:ind w:left="851"/>
        <w:rPr>
          <w:szCs w:val="20"/>
        </w:rPr>
      </w:pPr>
    </w:p>
    <w:p w14:paraId="1536AFF7" w14:textId="77777777" w:rsidR="00CE60E3" w:rsidRPr="006B464B" w:rsidRDefault="00CE60E3" w:rsidP="00C64262">
      <w:pPr>
        <w:pStyle w:val="Heading1"/>
        <w:ind w:left="0"/>
        <w:rPr>
          <w:lang w:val="en-GB" w:eastAsia="en-US" w:bidi="ar-SA"/>
        </w:rPr>
      </w:pPr>
      <w:r w:rsidRPr="006B464B">
        <w:rPr>
          <w:lang w:val="en-GB" w:eastAsia="en-US" w:bidi="ar-SA"/>
        </w:rPr>
        <w:t>Article 19 – Territorial application</w:t>
      </w:r>
      <w:r w:rsidRPr="006B464B">
        <w:rPr>
          <w:lang w:val="en-GB" w:eastAsia="en-US" w:bidi="ar-SA"/>
        </w:rPr>
        <w:tab/>
      </w:r>
      <w:r w:rsidRPr="006B464B">
        <w:rPr>
          <w:lang w:val="en-GB" w:eastAsia="en-US" w:bidi="ar-SA"/>
        </w:rPr>
        <w:br/>
      </w:r>
    </w:p>
    <w:p w14:paraId="71371090" w14:textId="688361AA" w:rsidR="00770BB1" w:rsidRDefault="00CE60E3" w:rsidP="00C64262">
      <w:pPr>
        <w:pStyle w:val="TableParagraph"/>
        <w:numPr>
          <w:ilvl w:val="6"/>
          <w:numId w:val="18"/>
        </w:numPr>
        <w:ind w:left="0" w:firstLine="0"/>
        <w:rPr>
          <w:sz w:val="20"/>
          <w:szCs w:val="20"/>
          <w:lang w:val="en-GB" w:eastAsia="en-US" w:bidi="ar-SA"/>
        </w:rPr>
      </w:pPr>
      <w:r w:rsidRPr="00770BB1">
        <w:rPr>
          <w:sz w:val="20"/>
          <w:szCs w:val="20"/>
          <w:lang w:val="en-GB"/>
        </w:rPr>
        <w:t>Any State may, at the time of signature or when depositing its instrument of ratification, acceptance, approval or accession, specify the territory or territories to which this Convention shall apply.</w:t>
      </w:r>
      <w:r w:rsidR="00770BB1">
        <w:rPr>
          <w:sz w:val="20"/>
          <w:szCs w:val="20"/>
          <w:lang w:val="en-GB"/>
        </w:rPr>
        <w:br/>
      </w:r>
    </w:p>
    <w:p w14:paraId="371A51A2" w14:textId="07BA7F4F" w:rsidR="00770BB1" w:rsidRDefault="00CE60E3" w:rsidP="00C64262">
      <w:pPr>
        <w:pStyle w:val="TableParagraph"/>
        <w:numPr>
          <w:ilvl w:val="6"/>
          <w:numId w:val="18"/>
        </w:numPr>
        <w:ind w:left="0" w:firstLine="0"/>
        <w:rPr>
          <w:sz w:val="20"/>
          <w:szCs w:val="20"/>
          <w:lang w:val="en-GB" w:eastAsia="en-US" w:bidi="ar-SA"/>
        </w:rPr>
      </w:pPr>
      <w:r w:rsidRPr="00770BB1">
        <w:rPr>
          <w:sz w:val="20"/>
          <w:szCs w:val="20"/>
          <w:lang w:val="en-GB"/>
        </w:rPr>
        <w:t>Any Party may, at any later date, by a declaration addressed to the Secretary General of the Council of Europe, extend the application of this Convention to any other territory specified in the declaration. In respect of such territory, the Convention shall enter into force on the first day of the month following the expiration of a period of three months after the date of receipt of the declaration by the Secretary General</w:t>
      </w:r>
      <w:r w:rsidRPr="00770BB1">
        <w:rPr>
          <w:sz w:val="20"/>
          <w:szCs w:val="20"/>
          <w:lang w:val="en-GB" w:eastAsia="en-US" w:bidi="ar-SA"/>
        </w:rPr>
        <w:t>.</w:t>
      </w:r>
      <w:r w:rsidR="00770BB1">
        <w:rPr>
          <w:sz w:val="20"/>
          <w:szCs w:val="20"/>
          <w:lang w:val="en-GB" w:eastAsia="en-US" w:bidi="ar-SA"/>
        </w:rPr>
        <w:br/>
      </w:r>
    </w:p>
    <w:p w14:paraId="286079F1" w14:textId="2D1FC6CC" w:rsidR="00CE60E3" w:rsidRPr="00770BB1" w:rsidRDefault="00CE60E3" w:rsidP="00C64262">
      <w:pPr>
        <w:pStyle w:val="TableParagraph"/>
        <w:numPr>
          <w:ilvl w:val="6"/>
          <w:numId w:val="18"/>
        </w:numPr>
        <w:ind w:left="0" w:firstLine="0"/>
        <w:rPr>
          <w:sz w:val="20"/>
          <w:szCs w:val="20"/>
          <w:lang w:val="en-GB" w:eastAsia="en-US" w:bidi="ar-SA"/>
        </w:rPr>
      </w:pPr>
      <w:r w:rsidRPr="00770BB1">
        <w:rPr>
          <w:sz w:val="20"/>
          <w:szCs w:val="20"/>
          <w:lang w:val="en-GB" w:eastAsia="en-US" w:bidi="ar-SA"/>
        </w:rPr>
        <w:t>Any declaration made under the two preceding paragraphs may, in respect of any territory specified in such a declaration, be withdrawn by a notification addressed to the Secretary General. The withdrawal shall become effective on the first day of the month following the expiration of a period of three months after the date of receipt of such a notification by the Secretary General.</w:t>
      </w:r>
    </w:p>
    <w:p w14:paraId="1832CC53" w14:textId="77777777" w:rsidR="00CE60E3" w:rsidRPr="006B464B" w:rsidRDefault="00CE60E3" w:rsidP="00C64262">
      <w:pPr>
        <w:adjustRightInd w:val="0"/>
        <w:rPr>
          <w:rFonts w:ascii="Arial-BoldMT" w:eastAsiaTheme="minorHAnsi" w:hAnsi="Arial-BoldMT" w:cs="Arial-BoldMT"/>
          <w:b/>
          <w:bCs/>
          <w:szCs w:val="20"/>
        </w:rPr>
      </w:pPr>
    </w:p>
    <w:p w14:paraId="6FD54159" w14:textId="77777777" w:rsidR="00CE60E3" w:rsidRPr="006B464B" w:rsidRDefault="00CE60E3" w:rsidP="00C64262">
      <w:pPr>
        <w:adjustRightInd w:val="0"/>
        <w:rPr>
          <w:rFonts w:ascii="Arial-BoldMT" w:eastAsiaTheme="minorHAnsi" w:hAnsi="Arial-BoldMT" w:cs="Arial-BoldMT"/>
          <w:b/>
          <w:bCs/>
          <w:szCs w:val="20"/>
        </w:rPr>
      </w:pPr>
      <w:r w:rsidRPr="006B464B">
        <w:rPr>
          <w:rFonts w:ascii="Arial-BoldMT" w:eastAsiaTheme="minorHAnsi" w:hAnsi="Arial-BoldMT" w:cs="Arial-BoldMT"/>
          <w:b/>
          <w:bCs/>
          <w:szCs w:val="20"/>
        </w:rPr>
        <w:t>Article 20 – Reservations</w:t>
      </w:r>
    </w:p>
    <w:p w14:paraId="6338F22F" w14:textId="77777777" w:rsidR="00CE60E3" w:rsidRPr="006B464B" w:rsidRDefault="00CE60E3" w:rsidP="00C64262"/>
    <w:p w14:paraId="1AAFE2D9" w14:textId="77777777" w:rsidR="00CE60E3" w:rsidRPr="006B464B" w:rsidRDefault="00CE60E3" w:rsidP="00C64262">
      <w:pPr>
        <w:pStyle w:val="ListParagraph"/>
        <w:numPr>
          <w:ilvl w:val="6"/>
          <w:numId w:val="20"/>
        </w:numPr>
        <w:autoSpaceDE w:val="0"/>
        <w:autoSpaceDN w:val="0"/>
        <w:adjustRightInd w:val="0"/>
        <w:ind w:left="0" w:right="117" w:firstLine="0"/>
        <w:contextualSpacing w:val="0"/>
        <w:rPr>
          <w:rFonts w:ascii="ArialMT" w:eastAsiaTheme="minorHAnsi" w:hAnsi="ArialMT" w:cs="ArialMT"/>
          <w:szCs w:val="20"/>
        </w:rPr>
      </w:pPr>
      <w:r w:rsidRPr="006B464B">
        <w:rPr>
          <w:szCs w:val="20"/>
        </w:rPr>
        <w:t>Any State may</w:t>
      </w:r>
      <w:r w:rsidRPr="006B464B">
        <w:rPr>
          <w:rFonts w:ascii="ArialMT" w:eastAsiaTheme="minorHAnsi" w:hAnsi="ArialMT" w:cs="ArialMT"/>
          <w:szCs w:val="20"/>
        </w:rPr>
        <w:t>, at the time of signature or when depositing its instrument of ratification, acceptance, approval or accession,</w:t>
      </w:r>
      <w:r w:rsidRPr="006B464B">
        <w:rPr>
          <w:szCs w:val="20"/>
        </w:rPr>
        <w:t xml:space="preserve"> reserve the right to fix a minimum financial contribution different from those laid down in Article 6 of this Convention. No other reservation may be made.</w:t>
      </w:r>
      <w:r w:rsidRPr="006B464B">
        <w:rPr>
          <w:szCs w:val="20"/>
        </w:rPr>
        <w:tab/>
      </w:r>
      <w:r w:rsidRPr="006B464B">
        <w:rPr>
          <w:szCs w:val="20"/>
        </w:rPr>
        <w:br/>
      </w:r>
    </w:p>
    <w:p w14:paraId="689E5647" w14:textId="1E0EEE15" w:rsidR="00CE60E3" w:rsidRPr="006B464B" w:rsidRDefault="00CE60E3" w:rsidP="00C64262">
      <w:pPr>
        <w:pStyle w:val="ListParagraph"/>
        <w:widowControl w:val="0"/>
        <w:numPr>
          <w:ilvl w:val="6"/>
          <w:numId w:val="20"/>
        </w:numPr>
        <w:autoSpaceDE w:val="0"/>
        <w:autoSpaceDN w:val="0"/>
        <w:ind w:left="0" w:right="117" w:firstLine="0"/>
        <w:contextualSpacing w:val="0"/>
        <w:rPr>
          <w:szCs w:val="20"/>
        </w:rPr>
      </w:pPr>
      <w:r w:rsidRPr="006B464B">
        <w:rPr>
          <w:szCs w:val="20"/>
        </w:rPr>
        <w:t xml:space="preserve">Any Party which has made a reservation under the preceding paragraph may wholly or partly withdraw it by means of a notification addressed to the Secretary General of the Council of Europe. </w:t>
      </w:r>
      <w:r w:rsidR="00A277BA">
        <w:rPr>
          <w:szCs w:val="20"/>
        </w:rPr>
        <w:br/>
      </w:r>
      <w:r w:rsidRPr="006B464B">
        <w:rPr>
          <w:szCs w:val="20"/>
        </w:rPr>
        <w:t>The withdrawal shall take effect on the date of receipt of such a notification by the Secretary General.</w:t>
      </w:r>
    </w:p>
    <w:p w14:paraId="1D60CB85" w14:textId="77777777" w:rsidR="00CE60E3" w:rsidRPr="006B464B" w:rsidRDefault="00CE60E3" w:rsidP="00C64262">
      <w:pPr>
        <w:adjustRightInd w:val="0"/>
        <w:rPr>
          <w:rFonts w:ascii="ArialMT" w:eastAsiaTheme="minorHAnsi" w:hAnsi="ArialMT" w:cs="ArialMT"/>
          <w:szCs w:val="20"/>
        </w:rPr>
      </w:pPr>
    </w:p>
    <w:p w14:paraId="256C6C1C" w14:textId="77777777" w:rsidR="00CE60E3" w:rsidRPr="006B464B" w:rsidRDefault="00CE60E3" w:rsidP="00C64262">
      <w:pPr>
        <w:adjustRightInd w:val="0"/>
        <w:rPr>
          <w:rFonts w:ascii="Arial-BoldMT" w:eastAsiaTheme="minorHAnsi" w:hAnsi="Arial-BoldMT" w:cs="Arial-BoldMT"/>
          <w:b/>
          <w:bCs/>
          <w:szCs w:val="20"/>
        </w:rPr>
      </w:pPr>
      <w:r w:rsidRPr="006B464B">
        <w:rPr>
          <w:rFonts w:ascii="Arial-BoldMT" w:eastAsiaTheme="minorHAnsi" w:hAnsi="Arial-BoldMT" w:cs="Arial-BoldMT"/>
          <w:b/>
          <w:bCs/>
          <w:szCs w:val="20"/>
        </w:rPr>
        <w:t>Article 21 – Denunciation</w:t>
      </w:r>
    </w:p>
    <w:p w14:paraId="4B7C29E4" w14:textId="77777777" w:rsidR="00CE60E3" w:rsidRPr="006B464B" w:rsidRDefault="00CE60E3" w:rsidP="00C64262">
      <w:pPr>
        <w:adjustRightInd w:val="0"/>
        <w:rPr>
          <w:rFonts w:ascii="Arial-BoldMT" w:eastAsiaTheme="minorHAnsi" w:hAnsi="Arial-BoldMT" w:cs="Arial-BoldMT"/>
          <w:b/>
          <w:bCs/>
          <w:szCs w:val="20"/>
        </w:rPr>
      </w:pPr>
    </w:p>
    <w:p w14:paraId="755FE0BF" w14:textId="77777777" w:rsidR="00CE60E3" w:rsidRPr="006B464B" w:rsidRDefault="00CE60E3" w:rsidP="00C64262">
      <w:pPr>
        <w:pStyle w:val="ListParagraph"/>
        <w:numPr>
          <w:ilvl w:val="2"/>
          <w:numId w:val="15"/>
        </w:numPr>
        <w:autoSpaceDE w:val="0"/>
        <w:autoSpaceDN w:val="0"/>
        <w:adjustRightInd w:val="0"/>
        <w:ind w:left="0" w:right="117" w:firstLine="0"/>
        <w:contextualSpacing w:val="0"/>
        <w:rPr>
          <w:rFonts w:ascii="ArialMT" w:eastAsiaTheme="minorHAnsi" w:hAnsi="ArialMT" w:cs="ArialMT"/>
          <w:szCs w:val="20"/>
        </w:rPr>
      </w:pPr>
      <w:r w:rsidRPr="006B464B">
        <w:rPr>
          <w:rFonts w:ascii="ArialMT" w:eastAsiaTheme="minorHAnsi" w:hAnsi="ArialMT" w:cs="ArialMT"/>
          <w:szCs w:val="20"/>
        </w:rPr>
        <w:t>Any Party may, at any time, denounce this Convention by means of a notification addressed to the Secretary General of the Council of Europe.</w:t>
      </w:r>
      <w:r w:rsidRPr="006B464B">
        <w:rPr>
          <w:rFonts w:ascii="ArialMT" w:eastAsiaTheme="minorHAnsi" w:hAnsi="ArialMT" w:cs="ArialMT"/>
          <w:szCs w:val="20"/>
        </w:rPr>
        <w:tab/>
      </w:r>
      <w:r w:rsidRPr="006B464B">
        <w:rPr>
          <w:rFonts w:ascii="ArialMT" w:eastAsiaTheme="minorHAnsi" w:hAnsi="ArialMT" w:cs="ArialMT"/>
          <w:szCs w:val="20"/>
        </w:rPr>
        <w:br/>
      </w:r>
    </w:p>
    <w:p w14:paraId="7A3E062E" w14:textId="77777777" w:rsidR="00CE60E3" w:rsidRPr="006B464B" w:rsidRDefault="00CE60E3" w:rsidP="00C64262">
      <w:pPr>
        <w:pStyle w:val="ListParagraph"/>
        <w:numPr>
          <w:ilvl w:val="2"/>
          <w:numId w:val="15"/>
        </w:numPr>
        <w:autoSpaceDE w:val="0"/>
        <w:autoSpaceDN w:val="0"/>
        <w:adjustRightInd w:val="0"/>
        <w:ind w:left="0" w:right="117" w:firstLine="0"/>
        <w:contextualSpacing w:val="0"/>
        <w:rPr>
          <w:rFonts w:ascii="ArialMT" w:eastAsiaTheme="minorHAnsi" w:hAnsi="ArialMT" w:cs="ArialMT"/>
          <w:szCs w:val="20"/>
        </w:rPr>
      </w:pPr>
      <w:r w:rsidRPr="006B464B">
        <w:rPr>
          <w:rFonts w:ascii="ArialMT" w:eastAsiaTheme="minorHAnsi" w:hAnsi="ArialMT" w:cs="ArialMT"/>
          <w:szCs w:val="20"/>
        </w:rPr>
        <w:t>The denunciation shall become effective on the first day of the month following the expiration of a period of six months after the date of receipt of the notification by the Secretary General.</w:t>
      </w:r>
      <w:r w:rsidRPr="006B464B">
        <w:rPr>
          <w:rFonts w:ascii="Arial-BoldMT" w:eastAsiaTheme="minorHAnsi" w:hAnsi="Arial-BoldMT" w:cs="Arial-BoldMT"/>
          <w:b/>
          <w:bCs/>
          <w:szCs w:val="20"/>
        </w:rPr>
        <w:br/>
      </w:r>
    </w:p>
    <w:p w14:paraId="38800A39" w14:textId="77777777" w:rsidR="00CE60E3" w:rsidRPr="006B464B" w:rsidRDefault="00CE60E3" w:rsidP="00C64262">
      <w:pPr>
        <w:adjustRightInd w:val="0"/>
        <w:rPr>
          <w:rFonts w:ascii="Arial-BoldMT" w:eastAsiaTheme="minorHAnsi" w:hAnsi="Arial-BoldMT" w:cs="Arial-BoldMT"/>
          <w:b/>
          <w:bCs/>
          <w:szCs w:val="20"/>
        </w:rPr>
      </w:pPr>
      <w:r w:rsidRPr="006B464B">
        <w:rPr>
          <w:rFonts w:ascii="Arial-BoldMT" w:eastAsiaTheme="minorHAnsi" w:hAnsi="Arial-BoldMT" w:cs="Arial-BoldMT"/>
          <w:b/>
          <w:bCs/>
          <w:szCs w:val="20"/>
        </w:rPr>
        <w:t>Article 22 – Notifications</w:t>
      </w:r>
    </w:p>
    <w:p w14:paraId="2314FBC2" w14:textId="77777777" w:rsidR="00CE60E3" w:rsidRPr="006B464B" w:rsidRDefault="00CE60E3" w:rsidP="00C64262">
      <w:pPr>
        <w:adjustRightInd w:val="0"/>
        <w:rPr>
          <w:rFonts w:ascii="Arial-BoldMT" w:eastAsiaTheme="minorHAnsi" w:hAnsi="Arial-BoldMT" w:cs="Arial-BoldMT"/>
          <w:b/>
          <w:bCs/>
          <w:szCs w:val="20"/>
        </w:rPr>
      </w:pPr>
    </w:p>
    <w:p w14:paraId="770B0D27" w14:textId="77777777" w:rsidR="00CE60E3" w:rsidRPr="00BC796C" w:rsidRDefault="00CE60E3" w:rsidP="00C64262">
      <w:pPr>
        <w:rPr>
          <w:szCs w:val="20"/>
        </w:rPr>
      </w:pPr>
      <w:r w:rsidRPr="00BC796C">
        <w:rPr>
          <w:szCs w:val="20"/>
        </w:rPr>
        <w:t>The Secretary General of the Council of Europe shall notify the member States of the Council of Europe and any State which has acceded to this Convention, or has been invited to do so, of:</w:t>
      </w:r>
    </w:p>
    <w:p w14:paraId="7E047C89" w14:textId="77777777" w:rsidR="00CE60E3" w:rsidRPr="006B464B" w:rsidRDefault="00CE60E3" w:rsidP="00C64262">
      <w:pPr>
        <w:pStyle w:val="ListParagraph"/>
        <w:rPr>
          <w:szCs w:val="20"/>
        </w:rPr>
      </w:pPr>
    </w:p>
    <w:p w14:paraId="0D2A9F37" w14:textId="77777777" w:rsidR="00CE60E3" w:rsidRPr="006B464B" w:rsidRDefault="00CE60E3" w:rsidP="00C64262">
      <w:pPr>
        <w:pStyle w:val="ListParagraph"/>
        <w:widowControl w:val="0"/>
        <w:numPr>
          <w:ilvl w:val="3"/>
          <w:numId w:val="15"/>
        </w:numPr>
        <w:autoSpaceDE w:val="0"/>
        <w:autoSpaceDN w:val="0"/>
        <w:ind w:left="1134" w:right="119" w:hanging="425"/>
        <w:contextualSpacing w:val="0"/>
        <w:rPr>
          <w:szCs w:val="20"/>
        </w:rPr>
      </w:pPr>
      <w:r w:rsidRPr="006B464B">
        <w:rPr>
          <w:szCs w:val="20"/>
        </w:rPr>
        <w:t xml:space="preserve">any </w:t>
      </w:r>
      <w:proofErr w:type="gramStart"/>
      <w:r w:rsidRPr="006B464B">
        <w:rPr>
          <w:szCs w:val="20"/>
        </w:rPr>
        <w:t>signature;</w:t>
      </w:r>
      <w:proofErr w:type="gramEnd"/>
    </w:p>
    <w:p w14:paraId="372AB5CE" w14:textId="77777777" w:rsidR="00CE60E3" w:rsidRPr="006B464B" w:rsidRDefault="00CE60E3" w:rsidP="00C64262">
      <w:pPr>
        <w:pStyle w:val="ListParagraph"/>
        <w:widowControl w:val="0"/>
        <w:numPr>
          <w:ilvl w:val="3"/>
          <w:numId w:val="15"/>
        </w:numPr>
        <w:autoSpaceDE w:val="0"/>
        <w:autoSpaceDN w:val="0"/>
        <w:ind w:left="1134" w:right="119" w:hanging="425"/>
        <w:contextualSpacing w:val="0"/>
        <w:rPr>
          <w:szCs w:val="20"/>
        </w:rPr>
      </w:pPr>
      <w:r w:rsidRPr="006B464B">
        <w:rPr>
          <w:szCs w:val="20"/>
        </w:rPr>
        <w:t>the deposit of any instrument of ratification, acceptance, approval or accession;</w:t>
      </w:r>
    </w:p>
    <w:p w14:paraId="7C8D7BD8" w14:textId="77777777" w:rsidR="00CE60E3" w:rsidRPr="006B464B" w:rsidRDefault="00CE60E3" w:rsidP="00C64262">
      <w:pPr>
        <w:pStyle w:val="ListParagraph"/>
        <w:widowControl w:val="0"/>
        <w:numPr>
          <w:ilvl w:val="3"/>
          <w:numId w:val="15"/>
        </w:numPr>
        <w:autoSpaceDE w:val="0"/>
        <w:autoSpaceDN w:val="0"/>
        <w:ind w:left="1134" w:right="119" w:hanging="425"/>
        <w:contextualSpacing w:val="0"/>
        <w:rPr>
          <w:szCs w:val="20"/>
        </w:rPr>
      </w:pPr>
      <w:r w:rsidRPr="006B464B">
        <w:rPr>
          <w:szCs w:val="20"/>
        </w:rPr>
        <w:t>any date of entry into force of this Convention in accordance with Articles 17, 18 and 19;</w:t>
      </w:r>
    </w:p>
    <w:p w14:paraId="5AD50FC5" w14:textId="77777777" w:rsidR="00CE60E3" w:rsidRPr="006B464B" w:rsidRDefault="00CE60E3" w:rsidP="00C64262">
      <w:pPr>
        <w:pStyle w:val="ListParagraph"/>
        <w:widowControl w:val="0"/>
        <w:numPr>
          <w:ilvl w:val="3"/>
          <w:numId w:val="15"/>
        </w:numPr>
        <w:autoSpaceDE w:val="0"/>
        <w:autoSpaceDN w:val="0"/>
        <w:ind w:left="1134" w:right="119" w:hanging="425"/>
        <w:contextualSpacing w:val="0"/>
        <w:rPr>
          <w:szCs w:val="20"/>
        </w:rPr>
      </w:pPr>
      <w:r w:rsidRPr="006B464B">
        <w:rPr>
          <w:szCs w:val="20"/>
        </w:rPr>
        <w:t>any reservation and withdrawal of a reservation made in pursuance of Article 20;</w:t>
      </w:r>
    </w:p>
    <w:p w14:paraId="3ACACD9C" w14:textId="77777777" w:rsidR="00CE60E3" w:rsidRPr="006B464B" w:rsidRDefault="00CE60E3" w:rsidP="00C64262">
      <w:pPr>
        <w:pStyle w:val="ListParagraph"/>
        <w:numPr>
          <w:ilvl w:val="3"/>
          <w:numId w:val="15"/>
        </w:numPr>
        <w:autoSpaceDE w:val="0"/>
        <w:autoSpaceDN w:val="0"/>
        <w:adjustRightInd w:val="0"/>
        <w:ind w:left="1134" w:right="119" w:hanging="425"/>
        <w:contextualSpacing w:val="0"/>
        <w:rPr>
          <w:rFonts w:ascii="ArialMT" w:eastAsiaTheme="minorHAnsi" w:hAnsi="ArialMT" w:cs="ArialMT"/>
          <w:szCs w:val="20"/>
        </w:rPr>
      </w:pPr>
      <w:r w:rsidRPr="006B464B">
        <w:rPr>
          <w:rFonts w:ascii="ArialMT" w:eastAsiaTheme="minorHAnsi" w:hAnsi="ArialMT" w:cs="ArialMT"/>
          <w:szCs w:val="20"/>
        </w:rPr>
        <w:t>any declaration made in accordance with Article 5, paragraph 5;</w:t>
      </w:r>
    </w:p>
    <w:p w14:paraId="113EB9BC" w14:textId="77777777" w:rsidR="00CE60E3" w:rsidRPr="006B464B" w:rsidRDefault="00CE60E3" w:rsidP="00C64262">
      <w:pPr>
        <w:pStyle w:val="ListParagraph"/>
        <w:numPr>
          <w:ilvl w:val="3"/>
          <w:numId w:val="15"/>
        </w:numPr>
        <w:autoSpaceDE w:val="0"/>
        <w:autoSpaceDN w:val="0"/>
        <w:adjustRightInd w:val="0"/>
        <w:ind w:left="1134" w:right="119" w:hanging="425"/>
        <w:contextualSpacing w:val="0"/>
        <w:rPr>
          <w:rFonts w:ascii="ArialMT" w:eastAsiaTheme="minorHAnsi" w:hAnsi="ArialMT" w:cs="ArialMT"/>
          <w:szCs w:val="20"/>
        </w:rPr>
      </w:pPr>
      <w:r w:rsidRPr="006B464B">
        <w:rPr>
          <w:rFonts w:ascii="ArialMT" w:eastAsiaTheme="minorHAnsi" w:hAnsi="ArialMT" w:cs="ArialMT"/>
          <w:szCs w:val="20"/>
        </w:rPr>
        <w:t>any denunciation notified in accordance with Article 21;</w:t>
      </w:r>
    </w:p>
    <w:p w14:paraId="2E680F87" w14:textId="77777777" w:rsidR="00CE60E3" w:rsidRPr="006B464B" w:rsidRDefault="00CE60E3" w:rsidP="00C64262">
      <w:pPr>
        <w:pStyle w:val="ListParagraph"/>
        <w:widowControl w:val="0"/>
        <w:numPr>
          <w:ilvl w:val="3"/>
          <w:numId w:val="15"/>
        </w:numPr>
        <w:autoSpaceDE w:val="0"/>
        <w:autoSpaceDN w:val="0"/>
        <w:ind w:left="1134" w:right="119" w:hanging="425"/>
        <w:contextualSpacing w:val="0"/>
        <w:rPr>
          <w:szCs w:val="20"/>
        </w:rPr>
      </w:pPr>
      <w:r w:rsidRPr="006B464B">
        <w:rPr>
          <w:rFonts w:ascii="ArialMT" w:eastAsiaTheme="minorHAnsi" w:hAnsi="ArialMT" w:cs="ArialMT"/>
          <w:szCs w:val="20"/>
        </w:rPr>
        <w:t>any other act, notification or communication relating to this Convention.</w:t>
      </w:r>
    </w:p>
    <w:p w14:paraId="69288AA7" w14:textId="77777777" w:rsidR="00CE60E3" w:rsidRPr="006B464B" w:rsidRDefault="00CE60E3" w:rsidP="00C64262">
      <w:pPr>
        <w:pStyle w:val="NoSpacing"/>
        <w:rPr>
          <w:sz w:val="20"/>
          <w:szCs w:val="20"/>
          <w:lang w:val="en-GB"/>
        </w:rPr>
      </w:pPr>
    </w:p>
    <w:p w14:paraId="535C15FD" w14:textId="77777777" w:rsidR="00CE60E3" w:rsidRPr="006B464B" w:rsidRDefault="00CE60E3" w:rsidP="00C64262">
      <w:pPr>
        <w:pStyle w:val="NoSpacing"/>
        <w:rPr>
          <w:sz w:val="20"/>
          <w:szCs w:val="20"/>
          <w:lang w:val="en-GB"/>
        </w:rPr>
      </w:pPr>
      <w:r w:rsidRPr="006B464B">
        <w:rPr>
          <w:sz w:val="20"/>
          <w:szCs w:val="20"/>
          <w:lang w:val="en-GB"/>
        </w:rPr>
        <w:t>In witness whereof the undersigned, being duly authorised thereto, have signed this Convention.</w:t>
      </w:r>
    </w:p>
    <w:p w14:paraId="0EC46547" w14:textId="77777777" w:rsidR="00CE60E3" w:rsidRPr="006B464B" w:rsidRDefault="00CE60E3" w:rsidP="00C64262">
      <w:pPr>
        <w:pStyle w:val="NoSpacing"/>
        <w:rPr>
          <w:sz w:val="20"/>
          <w:szCs w:val="20"/>
          <w:lang w:val="en-GB"/>
        </w:rPr>
      </w:pPr>
    </w:p>
    <w:p w14:paraId="2D6DB91F" w14:textId="5FD1D675" w:rsidR="005B5EDA" w:rsidRDefault="00CE60E3" w:rsidP="00C64262">
      <w:pPr>
        <w:widowControl w:val="0"/>
        <w:tabs>
          <w:tab w:val="left" w:pos="-720"/>
        </w:tabs>
        <w:suppressAutoHyphens/>
        <w:ind w:right="324"/>
        <w:contextualSpacing/>
        <w:rPr>
          <w:szCs w:val="20"/>
        </w:rPr>
      </w:pPr>
      <w:r w:rsidRPr="006B464B">
        <w:rPr>
          <w:szCs w:val="20"/>
        </w:rPr>
        <w:t>Done at xxx, this xx day of xx 20xx, in English and French, both texts being equally authentic, in a single copy which shall be deposited in the archives of the Council of Europe. The Secretary General of the Council of Europe shall transmit certified copies to the States mentioned in Article 16, paragraph 1,</w:t>
      </w:r>
      <w:r w:rsidRPr="0072051C">
        <w:rPr>
          <w:szCs w:val="20"/>
        </w:rPr>
        <w:t xml:space="preserve"> </w:t>
      </w:r>
      <w:r w:rsidRPr="006B464B">
        <w:rPr>
          <w:szCs w:val="20"/>
        </w:rPr>
        <w:t xml:space="preserve">and to </w:t>
      </w:r>
      <w:r w:rsidRPr="00D45277">
        <w:rPr>
          <w:szCs w:val="20"/>
        </w:rPr>
        <w:t>any State</w:t>
      </w:r>
      <w:r w:rsidRPr="006B464B">
        <w:rPr>
          <w:szCs w:val="20"/>
        </w:rPr>
        <w:t xml:space="preserve"> which has been invited to accede to this Convention.</w:t>
      </w:r>
    </w:p>
    <w:p w14:paraId="101D382C" w14:textId="77777777" w:rsidR="005B5EDA" w:rsidRDefault="005B5EDA" w:rsidP="00C64262">
      <w:pPr>
        <w:rPr>
          <w:szCs w:val="20"/>
        </w:rPr>
      </w:pPr>
      <w:r>
        <w:rPr>
          <w:szCs w:val="20"/>
        </w:rPr>
        <w:br w:type="page"/>
      </w:r>
    </w:p>
    <w:p w14:paraId="4C00B884" w14:textId="77777777" w:rsidR="005B5EDA" w:rsidRPr="006B464B" w:rsidRDefault="005B5EDA" w:rsidP="00F43459">
      <w:pPr>
        <w:pStyle w:val="NoSpacing"/>
        <w:rPr>
          <w:sz w:val="20"/>
          <w:szCs w:val="20"/>
          <w:lang w:val="en-GB"/>
        </w:rPr>
      </w:pPr>
      <w:bookmarkStart w:id="12" w:name="_Hlk132707924"/>
      <w:r w:rsidRPr="006B464B">
        <w:rPr>
          <w:sz w:val="20"/>
          <w:szCs w:val="20"/>
          <w:lang w:val="en-GB"/>
        </w:rPr>
        <w:t>Appendices to the Council of Europe Convention on the Co-production of Audiovisual Works in the Form of Series</w:t>
      </w:r>
    </w:p>
    <w:p w14:paraId="52B37333" w14:textId="77777777" w:rsidR="005B5EDA" w:rsidRPr="006B464B" w:rsidRDefault="005B5EDA" w:rsidP="00F43459">
      <w:pPr>
        <w:pStyle w:val="NoSpacing"/>
        <w:rPr>
          <w:sz w:val="20"/>
          <w:szCs w:val="20"/>
          <w:lang w:val="en-GB"/>
        </w:rPr>
      </w:pPr>
    </w:p>
    <w:p w14:paraId="49573DCC" w14:textId="77777777" w:rsidR="005B5EDA" w:rsidRPr="006B464B" w:rsidRDefault="005B5EDA" w:rsidP="00F43459">
      <w:pPr>
        <w:pStyle w:val="Heading1"/>
        <w:ind w:left="0"/>
        <w:rPr>
          <w:lang w:val="en-GB"/>
        </w:rPr>
      </w:pPr>
      <w:r w:rsidRPr="006B464B">
        <w:rPr>
          <w:lang w:val="en-GB"/>
        </w:rPr>
        <w:t>Appendix I –</w:t>
      </w:r>
      <w:r>
        <w:rPr>
          <w:lang w:val="en-GB"/>
        </w:rPr>
        <w:t xml:space="preserve"> Criteria for qualification of a series as an official co-production</w:t>
      </w:r>
    </w:p>
    <w:p w14:paraId="32EAA5E2" w14:textId="77777777" w:rsidR="005B5EDA" w:rsidRPr="006B464B" w:rsidRDefault="005B5EDA" w:rsidP="00BC796C">
      <w:pPr>
        <w:pStyle w:val="NoSpacing"/>
        <w:ind w:left="709" w:hanging="709"/>
        <w:rPr>
          <w:sz w:val="20"/>
          <w:szCs w:val="20"/>
          <w:lang w:val="en-GB"/>
        </w:rPr>
      </w:pPr>
    </w:p>
    <w:p w14:paraId="6EEAA2B8" w14:textId="77777777" w:rsidR="005B5EDA" w:rsidRPr="006B464B" w:rsidRDefault="005B5EDA" w:rsidP="00BC796C">
      <w:pPr>
        <w:pStyle w:val="ListParagraph"/>
        <w:widowControl w:val="0"/>
        <w:numPr>
          <w:ilvl w:val="2"/>
          <w:numId w:val="29"/>
        </w:numPr>
        <w:autoSpaceDE w:val="0"/>
        <w:autoSpaceDN w:val="0"/>
        <w:ind w:left="0" w:right="117" w:firstLine="0"/>
        <w:contextualSpacing w:val="0"/>
        <w:rPr>
          <w:szCs w:val="20"/>
        </w:rPr>
      </w:pPr>
      <w:r w:rsidRPr="006B464B">
        <w:rPr>
          <w:szCs w:val="20"/>
        </w:rPr>
        <w:t xml:space="preserve">A fiction series qualifies as an official co-production in the sense of Article 3, sub-paragraph f, if </w:t>
      </w:r>
      <w:proofErr w:type="gramStart"/>
      <w:r w:rsidRPr="006B464B">
        <w:rPr>
          <w:szCs w:val="20"/>
        </w:rPr>
        <w:t>with regard to</w:t>
      </w:r>
      <w:proofErr w:type="gramEnd"/>
      <w:r w:rsidRPr="006B464B">
        <w:rPr>
          <w:szCs w:val="20"/>
        </w:rPr>
        <w:t xml:space="preserve"> the elements originating in the States Parties to the Convention it obtains at least 24 of the total 31 points according to the list of elements set out in Table 1. </w:t>
      </w:r>
    </w:p>
    <w:p w14:paraId="3A7161F5" w14:textId="77777777" w:rsidR="005B5EDA" w:rsidRPr="006B464B" w:rsidRDefault="005B5EDA" w:rsidP="00BC796C">
      <w:pPr>
        <w:pStyle w:val="NoSpacing"/>
        <w:rPr>
          <w:sz w:val="20"/>
          <w:szCs w:val="20"/>
          <w:lang w:val="en-GB"/>
        </w:rPr>
      </w:pPr>
    </w:p>
    <w:p w14:paraId="2AC7CA3F" w14:textId="77777777" w:rsidR="005B5EDA" w:rsidRPr="006B464B" w:rsidRDefault="005B5EDA" w:rsidP="00BC796C">
      <w:pPr>
        <w:pStyle w:val="ListParagraph"/>
        <w:widowControl w:val="0"/>
        <w:numPr>
          <w:ilvl w:val="2"/>
          <w:numId w:val="29"/>
        </w:numPr>
        <w:autoSpaceDE w:val="0"/>
        <w:autoSpaceDN w:val="0"/>
        <w:ind w:left="0" w:right="117" w:firstLine="0"/>
        <w:contextualSpacing w:val="0"/>
        <w:rPr>
          <w:szCs w:val="20"/>
        </w:rPr>
      </w:pPr>
      <w:r w:rsidRPr="006B464B">
        <w:rPr>
          <w:szCs w:val="20"/>
        </w:rPr>
        <w:t xml:space="preserve">Having regard to the characteristics of the co-production, the competent authorities may, after consulting each other, grant official co-production status to a work with a number of points that is less than the formally required points under paragraph 1. </w:t>
      </w:r>
    </w:p>
    <w:p w14:paraId="4DA6AF59" w14:textId="77777777" w:rsidR="005B5EDA" w:rsidRPr="006B464B" w:rsidRDefault="005B5EDA" w:rsidP="00BC796C">
      <w:pPr>
        <w:pStyle w:val="ListParagraph"/>
        <w:ind w:left="0"/>
        <w:rPr>
          <w:szCs w:val="20"/>
        </w:rPr>
      </w:pPr>
    </w:p>
    <w:p w14:paraId="0EA1C8B8" w14:textId="77777777" w:rsidR="005B5EDA" w:rsidRPr="006B464B" w:rsidRDefault="005B5EDA" w:rsidP="00BC796C">
      <w:pPr>
        <w:pStyle w:val="ListParagraph"/>
        <w:widowControl w:val="0"/>
        <w:numPr>
          <w:ilvl w:val="2"/>
          <w:numId w:val="29"/>
        </w:numPr>
        <w:autoSpaceDE w:val="0"/>
        <w:autoSpaceDN w:val="0"/>
        <w:ind w:left="0" w:right="117" w:firstLine="0"/>
        <w:contextualSpacing w:val="0"/>
        <w:rPr>
          <w:szCs w:val="20"/>
        </w:rPr>
      </w:pPr>
      <w:r w:rsidRPr="006B464B">
        <w:rPr>
          <w:szCs w:val="20"/>
        </w:rPr>
        <w:t xml:space="preserve">The official co-production status is granted to a season. In the case of recurring seasons, the independent co-producers must submit an application for each season separately. </w:t>
      </w:r>
    </w:p>
    <w:p w14:paraId="6F9DF715" w14:textId="77777777" w:rsidR="005B5EDA" w:rsidRPr="006B464B" w:rsidRDefault="005B5EDA" w:rsidP="00F43459">
      <w:pPr>
        <w:pStyle w:val="NoSpacing"/>
        <w:rPr>
          <w:sz w:val="20"/>
          <w:szCs w:val="20"/>
          <w:lang w:val="en-GB"/>
        </w:rPr>
      </w:pPr>
    </w:p>
    <w:p w14:paraId="1A1CE255" w14:textId="77777777" w:rsidR="005B5EDA" w:rsidRPr="00D45277" w:rsidRDefault="005B5EDA" w:rsidP="005B5EDA">
      <w:pPr>
        <w:pStyle w:val="NoSpacing"/>
        <w:jc w:val="both"/>
        <w:rPr>
          <w:b/>
          <w:bCs/>
          <w:sz w:val="20"/>
          <w:szCs w:val="20"/>
          <w:lang w:val="en-GB"/>
        </w:rPr>
      </w:pPr>
      <w:r w:rsidRPr="006B464B">
        <w:rPr>
          <w:sz w:val="20"/>
          <w:szCs w:val="20"/>
          <w:lang w:val="en-GB"/>
        </w:rPr>
        <w:t xml:space="preserve">              </w:t>
      </w:r>
      <w:r w:rsidRPr="00D45277">
        <w:rPr>
          <w:b/>
          <w:bCs/>
          <w:sz w:val="20"/>
          <w:szCs w:val="20"/>
          <w:lang w:val="en-GB"/>
        </w:rPr>
        <w:t>Table 1</w:t>
      </w:r>
      <w:r w:rsidRPr="006B464B">
        <w:rPr>
          <w:b/>
          <w:bCs/>
          <w:sz w:val="20"/>
          <w:szCs w:val="20"/>
          <w:lang w:val="en-GB"/>
        </w:rPr>
        <w:t xml:space="preserve"> – Fiction – One season</w:t>
      </w:r>
    </w:p>
    <w:p w14:paraId="61239A8A" w14:textId="77777777" w:rsidR="005B5EDA" w:rsidRPr="006B464B" w:rsidRDefault="005B5EDA" w:rsidP="005B5EDA">
      <w:pPr>
        <w:pStyle w:val="NoSpacing"/>
        <w:jc w:val="both"/>
        <w:rPr>
          <w:sz w:val="20"/>
          <w:szCs w:val="20"/>
          <w:lang w:val="en-GB"/>
        </w:rPr>
      </w:pPr>
    </w:p>
    <w:tbl>
      <w:tblPr>
        <w:tblStyle w:val="TableGrid"/>
        <w:tblW w:w="0" w:type="auto"/>
        <w:tblInd w:w="855" w:type="dxa"/>
        <w:tblLayout w:type="fixed"/>
        <w:tblLook w:val="04A0" w:firstRow="1" w:lastRow="0" w:firstColumn="1" w:lastColumn="0" w:noHBand="0" w:noVBand="1"/>
      </w:tblPr>
      <w:tblGrid>
        <w:gridCol w:w="6653"/>
        <w:gridCol w:w="1985"/>
      </w:tblGrid>
      <w:tr w:rsidR="005B5EDA" w:rsidRPr="006B464B" w14:paraId="155AB32E" w14:textId="77777777" w:rsidTr="005B5EDA">
        <w:tc>
          <w:tcPr>
            <w:tcW w:w="6653" w:type="dxa"/>
          </w:tcPr>
          <w:p w14:paraId="2DEC7ACC" w14:textId="04F39237" w:rsidR="005B5EDA" w:rsidRPr="006B464B" w:rsidRDefault="005B5EDA" w:rsidP="00CF3A42">
            <w:pPr>
              <w:pStyle w:val="NoSpacing"/>
              <w:jc w:val="center"/>
              <w:rPr>
                <w:b/>
                <w:bCs/>
                <w:sz w:val="20"/>
                <w:szCs w:val="20"/>
                <w:lang w:val="en-GB"/>
              </w:rPr>
            </w:pPr>
            <w:r w:rsidRPr="006B464B">
              <w:rPr>
                <w:b/>
                <w:bCs/>
                <w:sz w:val="20"/>
                <w:szCs w:val="20"/>
                <w:lang w:val="en-GB"/>
              </w:rPr>
              <w:t>Elements originating in</w:t>
            </w:r>
            <w:r>
              <w:rPr>
                <w:b/>
                <w:bCs/>
                <w:sz w:val="20"/>
                <w:szCs w:val="20"/>
                <w:lang w:val="en-GB"/>
              </w:rPr>
              <w:t xml:space="preserve"> </w:t>
            </w:r>
            <w:r w:rsidRPr="006B464B">
              <w:rPr>
                <w:b/>
                <w:bCs/>
                <w:sz w:val="20"/>
                <w:szCs w:val="20"/>
                <w:lang w:val="en-GB"/>
              </w:rPr>
              <w:t>States Parties to the Convention</w:t>
            </w:r>
          </w:p>
        </w:tc>
        <w:tc>
          <w:tcPr>
            <w:tcW w:w="1985" w:type="dxa"/>
            <w:vAlign w:val="center"/>
          </w:tcPr>
          <w:p w14:paraId="642FB5B4" w14:textId="77777777" w:rsidR="005B5EDA" w:rsidRPr="006B464B" w:rsidRDefault="005B5EDA" w:rsidP="00CF3A42">
            <w:pPr>
              <w:pStyle w:val="NoSpacing"/>
              <w:jc w:val="center"/>
              <w:rPr>
                <w:b/>
                <w:bCs/>
                <w:sz w:val="20"/>
                <w:szCs w:val="20"/>
                <w:lang w:val="en-GB"/>
              </w:rPr>
            </w:pPr>
            <w:r w:rsidRPr="006B464B">
              <w:rPr>
                <w:b/>
                <w:bCs/>
                <w:sz w:val="20"/>
                <w:szCs w:val="20"/>
                <w:lang w:val="en-GB"/>
              </w:rPr>
              <w:t>Weighting points</w:t>
            </w:r>
          </w:p>
        </w:tc>
      </w:tr>
      <w:tr w:rsidR="005B5EDA" w:rsidRPr="006B464B" w14:paraId="477E9C7F" w14:textId="77777777" w:rsidTr="005B5EDA">
        <w:tc>
          <w:tcPr>
            <w:tcW w:w="6653" w:type="dxa"/>
          </w:tcPr>
          <w:p w14:paraId="539897B1" w14:textId="77777777" w:rsidR="005B5EDA" w:rsidRPr="006B464B" w:rsidRDefault="005B5EDA" w:rsidP="00CF3A42">
            <w:pPr>
              <w:pStyle w:val="NoSpacing"/>
              <w:jc w:val="center"/>
              <w:rPr>
                <w:sz w:val="18"/>
                <w:szCs w:val="18"/>
                <w:lang w:val="en-GB"/>
              </w:rPr>
            </w:pPr>
            <w:r w:rsidRPr="006B464B">
              <w:rPr>
                <w:sz w:val="18"/>
                <w:szCs w:val="18"/>
                <w:lang w:val="en-GB"/>
              </w:rPr>
              <w:t xml:space="preserve">Series creator </w:t>
            </w:r>
          </w:p>
        </w:tc>
        <w:tc>
          <w:tcPr>
            <w:tcW w:w="1985" w:type="dxa"/>
          </w:tcPr>
          <w:p w14:paraId="2000530B" w14:textId="77777777" w:rsidR="005B5EDA" w:rsidRPr="006B464B" w:rsidRDefault="005B5EDA" w:rsidP="00CF3A42">
            <w:pPr>
              <w:pStyle w:val="NoSpacing"/>
              <w:jc w:val="center"/>
              <w:rPr>
                <w:sz w:val="20"/>
                <w:szCs w:val="20"/>
                <w:lang w:val="en-GB"/>
              </w:rPr>
            </w:pPr>
            <w:r w:rsidRPr="006B464B">
              <w:rPr>
                <w:sz w:val="20"/>
                <w:szCs w:val="20"/>
                <w:lang w:val="en-GB"/>
              </w:rPr>
              <w:t>5</w:t>
            </w:r>
          </w:p>
        </w:tc>
      </w:tr>
      <w:tr w:rsidR="005B5EDA" w:rsidRPr="006B464B" w14:paraId="713C71CC" w14:textId="77777777" w:rsidTr="005B5EDA">
        <w:tc>
          <w:tcPr>
            <w:tcW w:w="6653" w:type="dxa"/>
          </w:tcPr>
          <w:p w14:paraId="5F468342" w14:textId="77777777" w:rsidR="005B5EDA" w:rsidRPr="006B464B" w:rsidRDefault="005B5EDA" w:rsidP="00CF3A42">
            <w:pPr>
              <w:pStyle w:val="NoSpacing"/>
              <w:jc w:val="center"/>
              <w:rPr>
                <w:sz w:val="18"/>
                <w:szCs w:val="18"/>
                <w:lang w:val="en-GB"/>
              </w:rPr>
            </w:pPr>
            <w:r w:rsidRPr="006B464B">
              <w:rPr>
                <w:sz w:val="18"/>
                <w:szCs w:val="18"/>
                <w:lang w:val="en-GB"/>
              </w:rPr>
              <w:t>Scriptwriter(s)</w:t>
            </w:r>
          </w:p>
        </w:tc>
        <w:tc>
          <w:tcPr>
            <w:tcW w:w="1985" w:type="dxa"/>
          </w:tcPr>
          <w:p w14:paraId="2F2673FD" w14:textId="77777777" w:rsidR="005B5EDA" w:rsidRPr="006B464B" w:rsidRDefault="005B5EDA" w:rsidP="00CF3A42">
            <w:pPr>
              <w:pStyle w:val="NoSpacing"/>
              <w:jc w:val="center"/>
              <w:rPr>
                <w:sz w:val="20"/>
                <w:szCs w:val="20"/>
                <w:lang w:val="en-GB"/>
              </w:rPr>
            </w:pPr>
            <w:r w:rsidRPr="006B464B">
              <w:rPr>
                <w:sz w:val="20"/>
                <w:szCs w:val="20"/>
                <w:lang w:val="en-GB"/>
              </w:rPr>
              <w:t>4</w:t>
            </w:r>
          </w:p>
        </w:tc>
      </w:tr>
      <w:tr w:rsidR="005B5EDA" w:rsidRPr="006B464B" w14:paraId="6AC07DB3" w14:textId="77777777" w:rsidTr="005B5EDA">
        <w:tc>
          <w:tcPr>
            <w:tcW w:w="6653" w:type="dxa"/>
          </w:tcPr>
          <w:p w14:paraId="36E6847D" w14:textId="77777777" w:rsidR="005B5EDA" w:rsidRPr="006B464B" w:rsidRDefault="005B5EDA" w:rsidP="00CF3A42">
            <w:pPr>
              <w:pStyle w:val="NoSpacing"/>
              <w:jc w:val="center"/>
              <w:rPr>
                <w:sz w:val="18"/>
                <w:szCs w:val="18"/>
                <w:lang w:val="en-GB"/>
              </w:rPr>
            </w:pPr>
            <w:r w:rsidRPr="006B464B">
              <w:rPr>
                <w:sz w:val="18"/>
                <w:szCs w:val="18"/>
                <w:lang w:val="en-GB"/>
              </w:rPr>
              <w:t>Director(s)</w:t>
            </w:r>
          </w:p>
        </w:tc>
        <w:tc>
          <w:tcPr>
            <w:tcW w:w="1985" w:type="dxa"/>
          </w:tcPr>
          <w:p w14:paraId="4475801C" w14:textId="77777777" w:rsidR="005B5EDA" w:rsidRPr="006B464B" w:rsidRDefault="005B5EDA" w:rsidP="00CF3A42">
            <w:pPr>
              <w:pStyle w:val="NoSpacing"/>
              <w:jc w:val="center"/>
              <w:rPr>
                <w:sz w:val="20"/>
                <w:szCs w:val="20"/>
                <w:lang w:val="en-GB"/>
              </w:rPr>
            </w:pPr>
            <w:r w:rsidRPr="006B464B">
              <w:rPr>
                <w:sz w:val="20"/>
                <w:szCs w:val="20"/>
                <w:lang w:val="en-GB"/>
              </w:rPr>
              <w:t>3</w:t>
            </w:r>
          </w:p>
        </w:tc>
      </w:tr>
      <w:tr w:rsidR="005B5EDA" w:rsidRPr="006B464B" w14:paraId="6DDB7914" w14:textId="77777777" w:rsidTr="005B5EDA">
        <w:tc>
          <w:tcPr>
            <w:tcW w:w="6653" w:type="dxa"/>
          </w:tcPr>
          <w:p w14:paraId="75A31976" w14:textId="77777777" w:rsidR="005B5EDA" w:rsidRPr="006B464B" w:rsidRDefault="005B5EDA" w:rsidP="00CF3A42">
            <w:pPr>
              <w:pStyle w:val="NoSpacing"/>
              <w:jc w:val="center"/>
              <w:rPr>
                <w:sz w:val="18"/>
                <w:szCs w:val="18"/>
                <w:lang w:val="en-GB"/>
              </w:rPr>
            </w:pPr>
            <w:r w:rsidRPr="006B464B">
              <w:rPr>
                <w:sz w:val="18"/>
                <w:szCs w:val="18"/>
                <w:lang w:val="en-GB"/>
              </w:rPr>
              <w:t>Composer</w:t>
            </w:r>
          </w:p>
        </w:tc>
        <w:tc>
          <w:tcPr>
            <w:tcW w:w="1985" w:type="dxa"/>
          </w:tcPr>
          <w:p w14:paraId="0D14B11E"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5E15272F" w14:textId="77777777" w:rsidTr="005B5EDA">
        <w:tc>
          <w:tcPr>
            <w:tcW w:w="6653" w:type="dxa"/>
          </w:tcPr>
          <w:p w14:paraId="17C0E26A" w14:textId="77777777" w:rsidR="005B5EDA" w:rsidRPr="006B464B" w:rsidRDefault="005B5EDA" w:rsidP="00CF3A42">
            <w:pPr>
              <w:pStyle w:val="NoSpacing"/>
              <w:jc w:val="center"/>
              <w:rPr>
                <w:sz w:val="18"/>
                <w:szCs w:val="18"/>
                <w:lang w:val="en-GB"/>
              </w:rPr>
            </w:pPr>
            <w:r w:rsidRPr="006B464B">
              <w:rPr>
                <w:sz w:val="18"/>
                <w:szCs w:val="18"/>
                <w:lang w:val="en-GB"/>
              </w:rPr>
              <w:t>First role</w:t>
            </w:r>
          </w:p>
        </w:tc>
        <w:tc>
          <w:tcPr>
            <w:tcW w:w="1985" w:type="dxa"/>
          </w:tcPr>
          <w:p w14:paraId="5DBAB095" w14:textId="77777777" w:rsidR="005B5EDA" w:rsidRPr="006B464B" w:rsidRDefault="005B5EDA" w:rsidP="00CF3A42">
            <w:pPr>
              <w:pStyle w:val="NoSpacing"/>
              <w:jc w:val="center"/>
              <w:rPr>
                <w:sz w:val="20"/>
                <w:szCs w:val="20"/>
                <w:lang w:val="en-GB"/>
              </w:rPr>
            </w:pPr>
            <w:r w:rsidRPr="006B464B">
              <w:rPr>
                <w:sz w:val="20"/>
                <w:szCs w:val="20"/>
                <w:lang w:val="en-GB"/>
              </w:rPr>
              <w:t>3</w:t>
            </w:r>
          </w:p>
        </w:tc>
      </w:tr>
      <w:tr w:rsidR="005B5EDA" w:rsidRPr="006B464B" w14:paraId="15131A63" w14:textId="77777777" w:rsidTr="005B5EDA">
        <w:tc>
          <w:tcPr>
            <w:tcW w:w="6653" w:type="dxa"/>
          </w:tcPr>
          <w:p w14:paraId="6C8D14DB" w14:textId="77777777" w:rsidR="005B5EDA" w:rsidRPr="006B464B" w:rsidRDefault="005B5EDA" w:rsidP="00CF3A42">
            <w:pPr>
              <w:pStyle w:val="NoSpacing"/>
              <w:jc w:val="center"/>
              <w:rPr>
                <w:sz w:val="18"/>
                <w:szCs w:val="18"/>
                <w:lang w:val="en-GB"/>
              </w:rPr>
            </w:pPr>
            <w:r w:rsidRPr="006B464B">
              <w:rPr>
                <w:sz w:val="18"/>
                <w:szCs w:val="18"/>
                <w:lang w:val="en-GB"/>
              </w:rPr>
              <w:t>Second role</w:t>
            </w:r>
          </w:p>
        </w:tc>
        <w:tc>
          <w:tcPr>
            <w:tcW w:w="1985" w:type="dxa"/>
          </w:tcPr>
          <w:p w14:paraId="7B660D24"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4753325A" w14:textId="77777777" w:rsidTr="005B5EDA">
        <w:tc>
          <w:tcPr>
            <w:tcW w:w="6653" w:type="dxa"/>
          </w:tcPr>
          <w:p w14:paraId="18E808A1" w14:textId="77777777" w:rsidR="005B5EDA" w:rsidRPr="006B464B" w:rsidRDefault="005B5EDA" w:rsidP="00CF3A42">
            <w:pPr>
              <w:pStyle w:val="NoSpacing"/>
              <w:jc w:val="center"/>
              <w:rPr>
                <w:sz w:val="18"/>
                <w:szCs w:val="18"/>
                <w:lang w:val="en-GB"/>
              </w:rPr>
            </w:pPr>
            <w:r w:rsidRPr="006B464B">
              <w:rPr>
                <w:sz w:val="18"/>
                <w:szCs w:val="18"/>
                <w:lang w:val="en-GB"/>
              </w:rPr>
              <w:t>Third role</w:t>
            </w:r>
          </w:p>
        </w:tc>
        <w:tc>
          <w:tcPr>
            <w:tcW w:w="1985" w:type="dxa"/>
          </w:tcPr>
          <w:p w14:paraId="189FD8F7" w14:textId="77777777" w:rsidR="005B5EDA" w:rsidRPr="006B464B" w:rsidRDefault="005B5EDA" w:rsidP="00CF3A42">
            <w:pPr>
              <w:pStyle w:val="NoSpacing"/>
              <w:jc w:val="center"/>
              <w:rPr>
                <w:sz w:val="20"/>
                <w:szCs w:val="20"/>
                <w:lang w:val="en-GB"/>
              </w:rPr>
            </w:pPr>
            <w:r w:rsidRPr="006B464B">
              <w:rPr>
                <w:sz w:val="20"/>
                <w:szCs w:val="20"/>
                <w:lang w:val="en-GB"/>
              </w:rPr>
              <w:t>1</w:t>
            </w:r>
          </w:p>
        </w:tc>
      </w:tr>
      <w:tr w:rsidR="005B5EDA" w:rsidRPr="006B464B" w14:paraId="26E2B827" w14:textId="77777777" w:rsidTr="005B5EDA">
        <w:tc>
          <w:tcPr>
            <w:tcW w:w="6653" w:type="dxa"/>
          </w:tcPr>
          <w:p w14:paraId="5DBF907E" w14:textId="77777777" w:rsidR="005B5EDA" w:rsidRPr="006B464B" w:rsidRDefault="005B5EDA" w:rsidP="00CF3A42">
            <w:pPr>
              <w:pStyle w:val="NoSpacing"/>
              <w:jc w:val="center"/>
              <w:rPr>
                <w:sz w:val="18"/>
                <w:szCs w:val="18"/>
                <w:lang w:val="en-GB"/>
              </w:rPr>
            </w:pPr>
            <w:r w:rsidRPr="006B464B">
              <w:rPr>
                <w:sz w:val="18"/>
                <w:szCs w:val="18"/>
                <w:lang w:val="en-GB"/>
              </w:rPr>
              <w:t xml:space="preserve">Head of </w:t>
            </w:r>
            <w:r>
              <w:rPr>
                <w:sz w:val="18"/>
                <w:szCs w:val="18"/>
                <w:lang w:val="en-GB"/>
              </w:rPr>
              <w:t>D</w:t>
            </w:r>
            <w:r w:rsidRPr="006B464B">
              <w:rPr>
                <w:sz w:val="18"/>
                <w:szCs w:val="18"/>
                <w:lang w:val="en-GB"/>
              </w:rPr>
              <w:t>epartment – production or costume design</w:t>
            </w:r>
          </w:p>
        </w:tc>
        <w:tc>
          <w:tcPr>
            <w:tcW w:w="1985" w:type="dxa"/>
          </w:tcPr>
          <w:p w14:paraId="19171DE6"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2D3E3AE9" w14:textId="77777777" w:rsidTr="005B5EDA">
        <w:tc>
          <w:tcPr>
            <w:tcW w:w="6653" w:type="dxa"/>
          </w:tcPr>
          <w:p w14:paraId="62BF8177" w14:textId="77777777" w:rsidR="005B5EDA" w:rsidRPr="006B464B" w:rsidRDefault="005B5EDA" w:rsidP="00CF3A42">
            <w:pPr>
              <w:pStyle w:val="NoSpacing"/>
              <w:jc w:val="center"/>
              <w:rPr>
                <w:sz w:val="18"/>
                <w:szCs w:val="18"/>
                <w:lang w:val="en-GB"/>
              </w:rPr>
            </w:pPr>
            <w:r w:rsidRPr="006B464B">
              <w:rPr>
                <w:sz w:val="18"/>
                <w:szCs w:val="18"/>
                <w:lang w:val="en-GB"/>
              </w:rPr>
              <w:t xml:space="preserve">Head of </w:t>
            </w:r>
            <w:r>
              <w:rPr>
                <w:sz w:val="18"/>
                <w:szCs w:val="18"/>
                <w:lang w:val="en-GB"/>
              </w:rPr>
              <w:t>D</w:t>
            </w:r>
            <w:r w:rsidRPr="006B464B">
              <w:rPr>
                <w:sz w:val="18"/>
                <w:szCs w:val="18"/>
                <w:lang w:val="en-GB"/>
              </w:rPr>
              <w:t>epartment – cinematography</w:t>
            </w:r>
          </w:p>
        </w:tc>
        <w:tc>
          <w:tcPr>
            <w:tcW w:w="1985" w:type="dxa"/>
          </w:tcPr>
          <w:p w14:paraId="67D68F24"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03DA6587" w14:textId="77777777" w:rsidTr="005B5EDA">
        <w:tc>
          <w:tcPr>
            <w:tcW w:w="6653" w:type="dxa"/>
          </w:tcPr>
          <w:p w14:paraId="4766C686" w14:textId="77777777" w:rsidR="005B5EDA" w:rsidRPr="006B464B" w:rsidRDefault="005B5EDA" w:rsidP="00CF3A42">
            <w:pPr>
              <w:pStyle w:val="NoSpacing"/>
              <w:jc w:val="center"/>
              <w:rPr>
                <w:sz w:val="18"/>
                <w:szCs w:val="18"/>
                <w:lang w:val="en-GB"/>
              </w:rPr>
            </w:pPr>
            <w:r w:rsidRPr="006B464B">
              <w:rPr>
                <w:sz w:val="18"/>
                <w:szCs w:val="18"/>
                <w:lang w:val="en-GB"/>
              </w:rPr>
              <w:t xml:space="preserve">Head of </w:t>
            </w:r>
            <w:r>
              <w:rPr>
                <w:sz w:val="18"/>
                <w:szCs w:val="18"/>
                <w:lang w:val="en-GB"/>
              </w:rPr>
              <w:t>D</w:t>
            </w:r>
            <w:r w:rsidRPr="006B464B">
              <w:rPr>
                <w:sz w:val="18"/>
                <w:szCs w:val="18"/>
                <w:lang w:val="en-GB"/>
              </w:rPr>
              <w:t xml:space="preserve">epartment – picture </w:t>
            </w:r>
            <w:r>
              <w:rPr>
                <w:sz w:val="18"/>
                <w:szCs w:val="18"/>
                <w:lang w:val="en-GB"/>
              </w:rPr>
              <w:t>e</w:t>
            </w:r>
            <w:r w:rsidRPr="006B464B">
              <w:rPr>
                <w:sz w:val="18"/>
                <w:szCs w:val="18"/>
                <w:lang w:val="en-GB"/>
              </w:rPr>
              <w:t>diting</w:t>
            </w:r>
          </w:p>
        </w:tc>
        <w:tc>
          <w:tcPr>
            <w:tcW w:w="1985" w:type="dxa"/>
          </w:tcPr>
          <w:p w14:paraId="4CDAE044"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0445EAE2" w14:textId="77777777" w:rsidTr="005B5EDA">
        <w:tc>
          <w:tcPr>
            <w:tcW w:w="6653" w:type="dxa"/>
          </w:tcPr>
          <w:p w14:paraId="6C7590D5" w14:textId="77777777" w:rsidR="005B5EDA" w:rsidRPr="00D45277" w:rsidRDefault="005B5EDA" w:rsidP="00CF3A42">
            <w:pPr>
              <w:pStyle w:val="NoSpacing"/>
              <w:jc w:val="center"/>
              <w:rPr>
                <w:sz w:val="18"/>
                <w:szCs w:val="18"/>
                <w:lang w:val="en-GB"/>
              </w:rPr>
            </w:pPr>
            <w:r w:rsidRPr="006B464B">
              <w:rPr>
                <w:sz w:val="18"/>
                <w:szCs w:val="18"/>
                <w:lang w:val="en-GB"/>
              </w:rPr>
              <w:t xml:space="preserve">Head of </w:t>
            </w:r>
            <w:r>
              <w:rPr>
                <w:sz w:val="18"/>
                <w:szCs w:val="18"/>
                <w:lang w:val="en-GB"/>
              </w:rPr>
              <w:t>D</w:t>
            </w:r>
            <w:r w:rsidRPr="006B464B">
              <w:rPr>
                <w:sz w:val="18"/>
                <w:szCs w:val="18"/>
                <w:lang w:val="en-GB"/>
              </w:rPr>
              <w:t>epartment – Sound</w:t>
            </w:r>
          </w:p>
        </w:tc>
        <w:tc>
          <w:tcPr>
            <w:tcW w:w="1985" w:type="dxa"/>
          </w:tcPr>
          <w:p w14:paraId="75421C55"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5F601FC4" w14:textId="77777777" w:rsidTr="005B5EDA">
        <w:tc>
          <w:tcPr>
            <w:tcW w:w="6653" w:type="dxa"/>
          </w:tcPr>
          <w:p w14:paraId="09509947" w14:textId="77777777" w:rsidR="005B5EDA" w:rsidRPr="006B464B" w:rsidRDefault="005B5EDA" w:rsidP="00CF3A42">
            <w:pPr>
              <w:pStyle w:val="NoSpacing"/>
              <w:jc w:val="center"/>
              <w:rPr>
                <w:sz w:val="18"/>
                <w:szCs w:val="18"/>
                <w:lang w:val="en-GB"/>
              </w:rPr>
            </w:pPr>
            <w:r w:rsidRPr="006B464B">
              <w:rPr>
                <w:sz w:val="18"/>
                <w:szCs w:val="18"/>
                <w:lang w:val="en-GB"/>
              </w:rPr>
              <w:t>Shooting location</w:t>
            </w:r>
          </w:p>
        </w:tc>
        <w:tc>
          <w:tcPr>
            <w:tcW w:w="1985" w:type="dxa"/>
          </w:tcPr>
          <w:p w14:paraId="7414DC9B" w14:textId="77777777" w:rsidR="005B5EDA" w:rsidRPr="006B464B" w:rsidRDefault="005B5EDA" w:rsidP="00CF3A42">
            <w:pPr>
              <w:pStyle w:val="NoSpacing"/>
              <w:jc w:val="center"/>
              <w:rPr>
                <w:sz w:val="20"/>
                <w:szCs w:val="20"/>
                <w:lang w:val="en-GB"/>
              </w:rPr>
            </w:pPr>
            <w:r w:rsidRPr="006B464B">
              <w:rPr>
                <w:sz w:val="20"/>
                <w:szCs w:val="20"/>
                <w:lang w:val="en-GB"/>
              </w:rPr>
              <w:t>1</w:t>
            </w:r>
          </w:p>
        </w:tc>
      </w:tr>
      <w:tr w:rsidR="005B5EDA" w:rsidRPr="006B464B" w14:paraId="35F30DA4" w14:textId="77777777" w:rsidTr="005B5EDA">
        <w:tc>
          <w:tcPr>
            <w:tcW w:w="6653" w:type="dxa"/>
          </w:tcPr>
          <w:p w14:paraId="05AF8CFB" w14:textId="77777777" w:rsidR="005B5EDA" w:rsidRPr="006B464B" w:rsidRDefault="005B5EDA" w:rsidP="00CF3A42">
            <w:pPr>
              <w:pStyle w:val="NoSpacing"/>
              <w:jc w:val="center"/>
              <w:rPr>
                <w:sz w:val="18"/>
                <w:szCs w:val="18"/>
                <w:lang w:val="en-GB"/>
              </w:rPr>
            </w:pPr>
            <w:r w:rsidRPr="006B464B">
              <w:rPr>
                <w:sz w:val="18"/>
                <w:szCs w:val="18"/>
                <w:lang w:val="en-GB"/>
              </w:rPr>
              <w:t xml:space="preserve">Visual effects (VFX) and </w:t>
            </w:r>
          </w:p>
          <w:p w14:paraId="3AC02671" w14:textId="77777777" w:rsidR="005B5EDA" w:rsidRPr="006B464B" w:rsidRDefault="005B5EDA" w:rsidP="00CF3A42">
            <w:pPr>
              <w:pStyle w:val="NoSpacing"/>
              <w:jc w:val="center"/>
              <w:rPr>
                <w:sz w:val="18"/>
                <w:szCs w:val="18"/>
                <w:lang w:val="en-GB"/>
              </w:rPr>
            </w:pPr>
            <w:r w:rsidRPr="006B464B">
              <w:rPr>
                <w:sz w:val="18"/>
                <w:szCs w:val="18"/>
                <w:lang w:val="en-GB"/>
              </w:rPr>
              <w:t>computer-generated imagery (CGI)</w:t>
            </w:r>
          </w:p>
        </w:tc>
        <w:tc>
          <w:tcPr>
            <w:tcW w:w="1985" w:type="dxa"/>
          </w:tcPr>
          <w:p w14:paraId="788F8BCC" w14:textId="77777777" w:rsidR="005B5EDA" w:rsidRPr="006B464B" w:rsidRDefault="005B5EDA" w:rsidP="00CF3A42">
            <w:pPr>
              <w:pStyle w:val="NoSpacing"/>
              <w:jc w:val="center"/>
              <w:rPr>
                <w:sz w:val="20"/>
                <w:szCs w:val="20"/>
                <w:lang w:val="en-GB"/>
              </w:rPr>
            </w:pPr>
            <w:r w:rsidRPr="006B464B">
              <w:rPr>
                <w:sz w:val="20"/>
                <w:szCs w:val="20"/>
                <w:lang w:val="en-GB"/>
              </w:rPr>
              <w:t>1</w:t>
            </w:r>
          </w:p>
        </w:tc>
      </w:tr>
      <w:tr w:rsidR="005B5EDA" w:rsidRPr="006B464B" w14:paraId="09548C03" w14:textId="77777777" w:rsidTr="005B5EDA">
        <w:tc>
          <w:tcPr>
            <w:tcW w:w="6653" w:type="dxa"/>
          </w:tcPr>
          <w:p w14:paraId="485F2239" w14:textId="77777777" w:rsidR="005B5EDA" w:rsidRPr="006B464B" w:rsidRDefault="005B5EDA" w:rsidP="00CF3A42">
            <w:pPr>
              <w:pStyle w:val="NoSpacing"/>
              <w:jc w:val="center"/>
              <w:rPr>
                <w:sz w:val="18"/>
                <w:szCs w:val="18"/>
                <w:lang w:val="en-GB"/>
              </w:rPr>
            </w:pPr>
            <w:r w:rsidRPr="006B464B">
              <w:rPr>
                <w:sz w:val="18"/>
                <w:szCs w:val="18"/>
                <w:lang w:val="en-GB"/>
              </w:rPr>
              <w:t>Post-production location</w:t>
            </w:r>
          </w:p>
        </w:tc>
        <w:tc>
          <w:tcPr>
            <w:tcW w:w="1985" w:type="dxa"/>
          </w:tcPr>
          <w:p w14:paraId="04B0AFCA" w14:textId="77777777" w:rsidR="005B5EDA" w:rsidRPr="006B464B" w:rsidRDefault="005B5EDA" w:rsidP="00CF3A42">
            <w:pPr>
              <w:pStyle w:val="NoSpacing"/>
              <w:jc w:val="center"/>
              <w:rPr>
                <w:sz w:val="20"/>
                <w:szCs w:val="20"/>
                <w:lang w:val="en-GB"/>
              </w:rPr>
            </w:pPr>
            <w:r w:rsidRPr="006B464B">
              <w:rPr>
                <w:sz w:val="20"/>
                <w:szCs w:val="20"/>
                <w:lang w:val="en-GB"/>
              </w:rPr>
              <w:t>1</w:t>
            </w:r>
          </w:p>
        </w:tc>
      </w:tr>
      <w:tr w:rsidR="005B5EDA" w:rsidRPr="006B464B" w14:paraId="2F04774E" w14:textId="77777777" w:rsidTr="005B5EDA">
        <w:tc>
          <w:tcPr>
            <w:tcW w:w="6653" w:type="dxa"/>
          </w:tcPr>
          <w:p w14:paraId="0B8C0857" w14:textId="77777777" w:rsidR="005B5EDA" w:rsidRPr="006B464B" w:rsidRDefault="005B5EDA" w:rsidP="00CF3A42">
            <w:pPr>
              <w:pStyle w:val="NoSpacing"/>
              <w:jc w:val="center"/>
              <w:rPr>
                <w:sz w:val="18"/>
                <w:szCs w:val="18"/>
                <w:lang w:val="en-GB"/>
              </w:rPr>
            </w:pPr>
          </w:p>
        </w:tc>
        <w:tc>
          <w:tcPr>
            <w:tcW w:w="1985" w:type="dxa"/>
          </w:tcPr>
          <w:p w14:paraId="16289C64" w14:textId="77777777" w:rsidR="005B5EDA" w:rsidRPr="006B464B" w:rsidRDefault="005B5EDA" w:rsidP="00CF3A42">
            <w:pPr>
              <w:pStyle w:val="NoSpacing"/>
              <w:jc w:val="center"/>
              <w:rPr>
                <w:sz w:val="20"/>
                <w:szCs w:val="20"/>
                <w:lang w:val="en-GB"/>
              </w:rPr>
            </w:pPr>
          </w:p>
        </w:tc>
      </w:tr>
      <w:tr w:rsidR="005B5EDA" w:rsidRPr="006B464B" w14:paraId="362CF10A" w14:textId="77777777" w:rsidTr="005B5EDA">
        <w:tc>
          <w:tcPr>
            <w:tcW w:w="6653" w:type="dxa"/>
          </w:tcPr>
          <w:p w14:paraId="5961B00B" w14:textId="77777777" w:rsidR="005B5EDA" w:rsidRPr="006B464B" w:rsidRDefault="005B5EDA" w:rsidP="00CF3A42">
            <w:pPr>
              <w:pStyle w:val="NoSpacing"/>
              <w:jc w:val="center"/>
              <w:rPr>
                <w:b/>
                <w:bCs/>
                <w:sz w:val="20"/>
                <w:szCs w:val="20"/>
                <w:lang w:val="en-GB"/>
              </w:rPr>
            </w:pPr>
            <w:r w:rsidRPr="006B464B">
              <w:rPr>
                <w:b/>
                <w:bCs/>
                <w:sz w:val="20"/>
                <w:szCs w:val="20"/>
                <w:lang w:val="en-GB"/>
              </w:rPr>
              <w:t>Total</w:t>
            </w:r>
          </w:p>
        </w:tc>
        <w:tc>
          <w:tcPr>
            <w:tcW w:w="1985" w:type="dxa"/>
          </w:tcPr>
          <w:p w14:paraId="13AB857E" w14:textId="77777777" w:rsidR="005B5EDA" w:rsidRPr="006B464B" w:rsidRDefault="005B5EDA" w:rsidP="00CF3A42">
            <w:pPr>
              <w:pStyle w:val="NoSpacing"/>
              <w:jc w:val="center"/>
              <w:rPr>
                <w:b/>
                <w:bCs/>
                <w:sz w:val="20"/>
                <w:szCs w:val="20"/>
                <w:lang w:val="en-GB"/>
              </w:rPr>
            </w:pPr>
            <w:r w:rsidRPr="006B464B">
              <w:rPr>
                <w:b/>
                <w:bCs/>
                <w:sz w:val="20"/>
                <w:szCs w:val="20"/>
                <w:lang w:val="en-GB"/>
              </w:rPr>
              <w:t>31</w:t>
            </w:r>
          </w:p>
        </w:tc>
      </w:tr>
    </w:tbl>
    <w:p w14:paraId="7527E44C" w14:textId="77777777" w:rsidR="005B5EDA" w:rsidRDefault="005B5EDA" w:rsidP="005B5EDA">
      <w:pPr>
        <w:rPr>
          <w:szCs w:val="20"/>
        </w:rPr>
      </w:pPr>
    </w:p>
    <w:p w14:paraId="166E2562" w14:textId="77777777" w:rsidR="005B5EDA" w:rsidRPr="006B464B" w:rsidRDefault="005B5EDA" w:rsidP="00BC796C">
      <w:pPr>
        <w:pStyle w:val="ListParagraph"/>
        <w:widowControl w:val="0"/>
        <w:numPr>
          <w:ilvl w:val="2"/>
          <w:numId w:val="29"/>
        </w:numPr>
        <w:autoSpaceDE w:val="0"/>
        <w:autoSpaceDN w:val="0"/>
        <w:ind w:left="0" w:right="117" w:firstLine="0"/>
        <w:contextualSpacing w:val="0"/>
        <w:rPr>
          <w:szCs w:val="20"/>
        </w:rPr>
      </w:pPr>
      <w:r w:rsidRPr="006B464B">
        <w:rPr>
          <w:szCs w:val="20"/>
        </w:rPr>
        <w:t xml:space="preserve">An animation series qualifies as an official co-production in the sense of Article 3, sub-paragraph f, if </w:t>
      </w:r>
      <w:proofErr w:type="gramStart"/>
      <w:r w:rsidRPr="006B464B">
        <w:rPr>
          <w:szCs w:val="20"/>
        </w:rPr>
        <w:t>with regard to</w:t>
      </w:r>
      <w:proofErr w:type="gramEnd"/>
      <w:r w:rsidRPr="006B464B">
        <w:rPr>
          <w:szCs w:val="20"/>
        </w:rPr>
        <w:t xml:space="preserve"> the elements originating in the States Parties to the Convention it obtains at least 26 of the total 40 points according to the list of elements set out in Table 2. </w:t>
      </w:r>
    </w:p>
    <w:p w14:paraId="1A9CD820" w14:textId="77777777" w:rsidR="005B5EDA" w:rsidRPr="006B464B" w:rsidRDefault="005B5EDA" w:rsidP="00BC796C">
      <w:pPr>
        <w:pStyle w:val="NoSpacing"/>
        <w:rPr>
          <w:sz w:val="20"/>
          <w:szCs w:val="20"/>
          <w:lang w:val="en-GB"/>
        </w:rPr>
      </w:pPr>
    </w:p>
    <w:p w14:paraId="0E1C0DF5" w14:textId="77777777" w:rsidR="005B5EDA" w:rsidRPr="006B464B" w:rsidRDefault="005B5EDA" w:rsidP="00BC796C">
      <w:pPr>
        <w:pStyle w:val="ListParagraph"/>
        <w:widowControl w:val="0"/>
        <w:numPr>
          <w:ilvl w:val="2"/>
          <w:numId w:val="29"/>
        </w:numPr>
        <w:autoSpaceDE w:val="0"/>
        <w:autoSpaceDN w:val="0"/>
        <w:ind w:left="0" w:right="117" w:firstLine="0"/>
        <w:contextualSpacing w:val="0"/>
        <w:rPr>
          <w:szCs w:val="20"/>
        </w:rPr>
      </w:pPr>
      <w:r w:rsidRPr="006B464B">
        <w:rPr>
          <w:szCs w:val="20"/>
        </w:rPr>
        <w:t>Having regard to the characteristics of the co-production, the competent authorities may, after consulting each other, grant official co-production status to a work with a number of points that is less than the normally required points under paragraph 4.</w:t>
      </w:r>
    </w:p>
    <w:p w14:paraId="65502AAC" w14:textId="77777777" w:rsidR="005B5EDA" w:rsidRPr="006B464B" w:rsidRDefault="005B5EDA" w:rsidP="00BC796C">
      <w:pPr>
        <w:pStyle w:val="ListParagraph"/>
        <w:ind w:left="0"/>
        <w:rPr>
          <w:szCs w:val="20"/>
        </w:rPr>
      </w:pPr>
    </w:p>
    <w:p w14:paraId="4F81EAF1" w14:textId="77777777" w:rsidR="005B5EDA" w:rsidRPr="006B464B" w:rsidRDefault="005B5EDA" w:rsidP="00BC796C">
      <w:pPr>
        <w:pStyle w:val="ListParagraph"/>
        <w:widowControl w:val="0"/>
        <w:numPr>
          <w:ilvl w:val="2"/>
          <w:numId w:val="29"/>
        </w:numPr>
        <w:autoSpaceDE w:val="0"/>
        <w:autoSpaceDN w:val="0"/>
        <w:ind w:left="0" w:right="117" w:firstLine="0"/>
        <w:contextualSpacing w:val="0"/>
        <w:rPr>
          <w:szCs w:val="20"/>
        </w:rPr>
      </w:pPr>
      <w:r w:rsidRPr="006B464B">
        <w:rPr>
          <w:szCs w:val="20"/>
        </w:rPr>
        <w:t xml:space="preserve">The official co-production status is granted to a season. In the case of recurring seasons, the independent co-producers must submit an application for each season separately. </w:t>
      </w:r>
    </w:p>
    <w:p w14:paraId="461EECF4" w14:textId="4EFC150F" w:rsidR="005B5EDA" w:rsidRPr="006B464B" w:rsidRDefault="005B5EDA" w:rsidP="005B5EDA">
      <w:pPr>
        <w:pStyle w:val="NoSpacing"/>
        <w:rPr>
          <w:sz w:val="20"/>
          <w:szCs w:val="20"/>
          <w:lang w:val="en-GB"/>
        </w:rPr>
      </w:pPr>
      <w:r>
        <w:rPr>
          <w:sz w:val="20"/>
          <w:szCs w:val="20"/>
          <w:lang w:val="en-GB"/>
        </w:rPr>
        <w:br/>
      </w:r>
      <w:r>
        <w:rPr>
          <w:sz w:val="20"/>
          <w:szCs w:val="20"/>
          <w:lang w:val="en-GB"/>
        </w:rPr>
        <w:br/>
      </w:r>
      <w:r>
        <w:rPr>
          <w:sz w:val="20"/>
          <w:szCs w:val="20"/>
          <w:lang w:val="en-GB"/>
        </w:rPr>
        <w:br/>
      </w:r>
      <w:r>
        <w:rPr>
          <w:sz w:val="20"/>
          <w:szCs w:val="20"/>
          <w:lang w:val="en-GB"/>
        </w:rPr>
        <w:br/>
      </w:r>
      <w:r>
        <w:rPr>
          <w:sz w:val="20"/>
          <w:szCs w:val="20"/>
          <w:lang w:val="en-GB"/>
        </w:rPr>
        <w:br/>
      </w:r>
      <w:r>
        <w:rPr>
          <w:sz w:val="20"/>
          <w:szCs w:val="20"/>
          <w:lang w:val="en-GB"/>
        </w:rPr>
        <w:br/>
      </w:r>
      <w:r>
        <w:rPr>
          <w:sz w:val="20"/>
          <w:szCs w:val="20"/>
          <w:lang w:val="en-GB"/>
        </w:rPr>
        <w:br/>
      </w:r>
      <w:r>
        <w:rPr>
          <w:sz w:val="20"/>
          <w:szCs w:val="20"/>
          <w:lang w:val="en-GB"/>
        </w:rPr>
        <w:br/>
      </w:r>
      <w:r>
        <w:rPr>
          <w:sz w:val="20"/>
          <w:szCs w:val="20"/>
          <w:lang w:val="en-GB"/>
        </w:rPr>
        <w:br/>
      </w:r>
      <w:r>
        <w:rPr>
          <w:sz w:val="20"/>
          <w:szCs w:val="20"/>
          <w:lang w:val="en-GB"/>
        </w:rPr>
        <w:br/>
      </w:r>
      <w:r>
        <w:rPr>
          <w:sz w:val="20"/>
          <w:szCs w:val="20"/>
          <w:lang w:val="en-GB"/>
        </w:rPr>
        <w:br/>
      </w:r>
      <w:r>
        <w:rPr>
          <w:sz w:val="20"/>
          <w:szCs w:val="20"/>
          <w:lang w:val="en-GB"/>
        </w:rPr>
        <w:br/>
      </w:r>
      <w:r>
        <w:rPr>
          <w:sz w:val="20"/>
          <w:szCs w:val="20"/>
          <w:lang w:val="en-GB"/>
        </w:rPr>
        <w:br/>
      </w:r>
      <w:r>
        <w:rPr>
          <w:sz w:val="20"/>
          <w:szCs w:val="20"/>
          <w:lang w:val="en-GB"/>
        </w:rPr>
        <w:br/>
      </w:r>
      <w:r>
        <w:rPr>
          <w:sz w:val="20"/>
          <w:szCs w:val="20"/>
          <w:lang w:val="en-GB"/>
        </w:rPr>
        <w:br/>
      </w:r>
      <w:r>
        <w:rPr>
          <w:sz w:val="20"/>
          <w:szCs w:val="20"/>
          <w:lang w:val="en-GB"/>
        </w:rPr>
        <w:br/>
      </w:r>
      <w:r>
        <w:rPr>
          <w:sz w:val="20"/>
          <w:szCs w:val="20"/>
          <w:lang w:val="en-GB"/>
        </w:rPr>
        <w:br/>
      </w:r>
    </w:p>
    <w:p w14:paraId="2B751878" w14:textId="77777777" w:rsidR="005B5EDA" w:rsidRPr="00D45277" w:rsidRDefault="005B5EDA" w:rsidP="005B5EDA">
      <w:pPr>
        <w:pStyle w:val="NoSpacing"/>
        <w:rPr>
          <w:b/>
          <w:bCs/>
          <w:sz w:val="20"/>
          <w:szCs w:val="20"/>
          <w:lang w:val="en-GB"/>
        </w:rPr>
      </w:pPr>
      <w:r w:rsidRPr="006B464B">
        <w:rPr>
          <w:sz w:val="20"/>
          <w:szCs w:val="20"/>
          <w:lang w:val="en-GB"/>
        </w:rPr>
        <w:t xml:space="preserve">                </w:t>
      </w:r>
      <w:r w:rsidRPr="00D45277">
        <w:rPr>
          <w:b/>
          <w:bCs/>
          <w:sz w:val="20"/>
          <w:szCs w:val="20"/>
          <w:lang w:val="en-GB"/>
        </w:rPr>
        <w:t>Table 2</w:t>
      </w:r>
      <w:r w:rsidRPr="006B464B">
        <w:rPr>
          <w:b/>
          <w:bCs/>
          <w:sz w:val="20"/>
          <w:szCs w:val="20"/>
          <w:lang w:val="en-GB"/>
        </w:rPr>
        <w:t xml:space="preserve"> – Animation – One season</w:t>
      </w:r>
    </w:p>
    <w:p w14:paraId="4638868A" w14:textId="77777777" w:rsidR="005B5EDA" w:rsidRPr="006B464B" w:rsidRDefault="005B5EDA" w:rsidP="005B5EDA">
      <w:pPr>
        <w:pStyle w:val="NoSpacing"/>
        <w:rPr>
          <w:sz w:val="20"/>
          <w:szCs w:val="20"/>
          <w:lang w:val="en-GB"/>
        </w:rPr>
      </w:pPr>
    </w:p>
    <w:tbl>
      <w:tblPr>
        <w:tblStyle w:val="TableGrid"/>
        <w:tblW w:w="0" w:type="auto"/>
        <w:tblInd w:w="883" w:type="dxa"/>
        <w:tblLayout w:type="fixed"/>
        <w:tblLook w:val="04A0" w:firstRow="1" w:lastRow="0" w:firstColumn="1" w:lastColumn="0" w:noHBand="0" w:noVBand="1"/>
      </w:tblPr>
      <w:tblGrid>
        <w:gridCol w:w="6767"/>
        <w:gridCol w:w="1843"/>
      </w:tblGrid>
      <w:tr w:rsidR="005B5EDA" w:rsidRPr="006B464B" w14:paraId="7AD6E41D" w14:textId="77777777" w:rsidTr="005B5EDA">
        <w:tc>
          <w:tcPr>
            <w:tcW w:w="6767" w:type="dxa"/>
          </w:tcPr>
          <w:p w14:paraId="018E38E6" w14:textId="77777777" w:rsidR="005B5EDA" w:rsidRPr="006B464B" w:rsidRDefault="005B5EDA" w:rsidP="00CF3A42">
            <w:pPr>
              <w:pStyle w:val="NoSpacing"/>
              <w:jc w:val="center"/>
              <w:rPr>
                <w:b/>
                <w:bCs/>
                <w:sz w:val="20"/>
                <w:szCs w:val="20"/>
                <w:lang w:val="en-GB"/>
              </w:rPr>
            </w:pPr>
            <w:r w:rsidRPr="006B464B">
              <w:rPr>
                <w:b/>
                <w:bCs/>
                <w:sz w:val="20"/>
                <w:szCs w:val="20"/>
                <w:lang w:val="en-GB"/>
              </w:rPr>
              <w:t>Elements originating in States Parties to the Convention</w:t>
            </w:r>
          </w:p>
        </w:tc>
        <w:tc>
          <w:tcPr>
            <w:tcW w:w="1843" w:type="dxa"/>
          </w:tcPr>
          <w:p w14:paraId="48297E16" w14:textId="77777777" w:rsidR="005B5EDA" w:rsidRPr="006B464B" w:rsidRDefault="005B5EDA" w:rsidP="00CF3A42">
            <w:pPr>
              <w:pStyle w:val="NoSpacing"/>
              <w:jc w:val="center"/>
              <w:rPr>
                <w:b/>
                <w:bCs/>
                <w:sz w:val="20"/>
                <w:szCs w:val="20"/>
                <w:lang w:val="en-GB"/>
              </w:rPr>
            </w:pPr>
            <w:r w:rsidRPr="006B464B">
              <w:rPr>
                <w:b/>
                <w:bCs/>
                <w:sz w:val="20"/>
                <w:szCs w:val="20"/>
                <w:lang w:val="en-GB"/>
              </w:rPr>
              <w:t>Weighting points</w:t>
            </w:r>
          </w:p>
        </w:tc>
      </w:tr>
      <w:tr w:rsidR="005B5EDA" w:rsidRPr="006B464B" w14:paraId="158E4326" w14:textId="77777777" w:rsidTr="005B5EDA">
        <w:tc>
          <w:tcPr>
            <w:tcW w:w="6767" w:type="dxa"/>
          </w:tcPr>
          <w:p w14:paraId="20FA14D6" w14:textId="77777777" w:rsidR="005B5EDA" w:rsidRPr="006B464B" w:rsidRDefault="005B5EDA" w:rsidP="00CF3A42">
            <w:pPr>
              <w:pStyle w:val="NoSpacing"/>
              <w:jc w:val="center"/>
              <w:rPr>
                <w:sz w:val="18"/>
                <w:szCs w:val="18"/>
                <w:lang w:val="en-GB"/>
              </w:rPr>
            </w:pPr>
            <w:r w:rsidRPr="006B464B">
              <w:rPr>
                <w:sz w:val="18"/>
                <w:szCs w:val="18"/>
                <w:lang w:val="en-GB"/>
              </w:rPr>
              <w:t xml:space="preserve">Series creator </w:t>
            </w:r>
          </w:p>
        </w:tc>
        <w:tc>
          <w:tcPr>
            <w:tcW w:w="1843" w:type="dxa"/>
          </w:tcPr>
          <w:p w14:paraId="34FE2997" w14:textId="77777777" w:rsidR="005B5EDA" w:rsidRPr="006B464B" w:rsidRDefault="005B5EDA" w:rsidP="00CF3A42">
            <w:pPr>
              <w:pStyle w:val="NoSpacing"/>
              <w:jc w:val="center"/>
              <w:rPr>
                <w:strike/>
                <w:sz w:val="20"/>
                <w:szCs w:val="20"/>
                <w:lang w:val="en-GB"/>
              </w:rPr>
            </w:pPr>
            <w:r w:rsidRPr="006B464B">
              <w:rPr>
                <w:strike/>
                <w:sz w:val="20"/>
                <w:szCs w:val="20"/>
                <w:lang w:val="en-GB"/>
              </w:rPr>
              <w:t>4</w:t>
            </w:r>
          </w:p>
        </w:tc>
      </w:tr>
      <w:tr w:rsidR="005B5EDA" w:rsidRPr="006B464B" w14:paraId="4BDACCD3" w14:textId="77777777" w:rsidTr="005B5EDA">
        <w:tc>
          <w:tcPr>
            <w:tcW w:w="6767" w:type="dxa"/>
          </w:tcPr>
          <w:p w14:paraId="0DB2D29D" w14:textId="77777777" w:rsidR="005B5EDA" w:rsidRPr="006B464B" w:rsidRDefault="005B5EDA" w:rsidP="00CF3A42">
            <w:pPr>
              <w:pStyle w:val="NoSpacing"/>
              <w:jc w:val="center"/>
              <w:rPr>
                <w:sz w:val="18"/>
                <w:szCs w:val="18"/>
                <w:lang w:val="en-GB"/>
              </w:rPr>
            </w:pPr>
            <w:r w:rsidRPr="006B464B">
              <w:rPr>
                <w:sz w:val="18"/>
                <w:szCs w:val="18"/>
                <w:lang w:val="en-GB"/>
              </w:rPr>
              <w:t>Graphic bible</w:t>
            </w:r>
          </w:p>
        </w:tc>
        <w:tc>
          <w:tcPr>
            <w:tcW w:w="1843" w:type="dxa"/>
          </w:tcPr>
          <w:p w14:paraId="2046814B" w14:textId="77777777" w:rsidR="005B5EDA" w:rsidRPr="006B464B" w:rsidRDefault="005B5EDA" w:rsidP="00CF3A42">
            <w:pPr>
              <w:pStyle w:val="NoSpacing"/>
              <w:jc w:val="center"/>
              <w:rPr>
                <w:sz w:val="20"/>
                <w:szCs w:val="20"/>
                <w:lang w:val="en-GB"/>
              </w:rPr>
            </w:pPr>
            <w:r w:rsidRPr="006B464B">
              <w:rPr>
                <w:sz w:val="20"/>
                <w:szCs w:val="20"/>
                <w:lang w:val="en-GB"/>
              </w:rPr>
              <w:t>4</w:t>
            </w:r>
          </w:p>
        </w:tc>
      </w:tr>
      <w:tr w:rsidR="005B5EDA" w:rsidRPr="006B464B" w14:paraId="561305C7" w14:textId="77777777" w:rsidTr="005B5EDA">
        <w:tc>
          <w:tcPr>
            <w:tcW w:w="6767" w:type="dxa"/>
          </w:tcPr>
          <w:p w14:paraId="23F0856F" w14:textId="77777777" w:rsidR="005B5EDA" w:rsidRPr="006B464B" w:rsidRDefault="005B5EDA" w:rsidP="00CF3A42">
            <w:pPr>
              <w:pStyle w:val="NoSpacing"/>
              <w:jc w:val="center"/>
              <w:rPr>
                <w:sz w:val="18"/>
                <w:szCs w:val="18"/>
                <w:lang w:val="en-GB"/>
              </w:rPr>
            </w:pPr>
            <w:r w:rsidRPr="006B464B">
              <w:rPr>
                <w:sz w:val="18"/>
                <w:szCs w:val="18"/>
                <w:lang w:val="en-GB"/>
              </w:rPr>
              <w:t>Script</w:t>
            </w:r>
          </w:p>
        </w:tc>
        <w:tc>
          <w:tcPr>
            <w:tcW w:w="1843" w:type="dxa"/>
          </w:tcPr>
          <w:p w14:paraId="5D3BB170" w14:textId="77777777" w:rsidR="005B5EDA" w:rsidRPr="006B464B" w:rsidRDefault="005B5EDA" w:rsidP="00CF3A42">
            <w:pPr>
              <w:pStyle w:val="NoSpacing"/>
              <w:jc w:val="center"/>
              <w:rPr>
                <w:sz w:val="20"/>
                <w:szCs w:val="20"/>
                <w:lang w:val="en-GB"/>
              </w:rPr>
            </w:pPr>
            <w:r w:rsidRPr="006B464B">
              <w:rPr>
                <w:sz w:val="20"/>
                <w:szCs w:val="20"/>
                <w:lang w:val="en-GB"/>
              </w:rPr>
              <w:t>4</w:t>
            </w:r>
          </w:p>
        </w:tc>
      </w:tr>
      <w:tr w:rsidR="005B5EDA" w:rsidRPr="006B464B" w14:paraId="637B6D75" w14:textId="77777777" w:rsidTr="005B5EDA">
        <w:tc>
          <w:tcPr>
            <w:tcW w:w="6767" w:type="dxa"/>
          </w:tcPr>
          <w:p w14:paraId="32D1994E" w14:textId="77777777" w:rsidR="005B5EDA" w:rsidRPr="006B464B" w:rsidRDefault="005B5EDA" w:rsidP="00CF3A42">
            <w:pPr>
              <w:pStyle w:val="NoSpacing"/>
              <w:jc w:val="center"/>
              <w:rPr>
                <w:sz w:val="18"/>
                <w:szCs w:val="18"/>
                <w:lang w:val="en-GB"/>
              </w:rPr>
            </w:pPr>
            <w:r w:rsidRPr="006B464B">
              <w:rPr>
                <w:sz w:val="18"/>
                <w:szCs w:val="18"/>
                <w:lang w:val="en-GB"/>
              </w:rPr>
              <w:t>Directing</w:t>
            </w:r>
            <w:r w:rsidRPr="006B464B" w:rsidDel="008940C6">
              <w:rPr>
                <w:sz w:val="18"/>
                <w:szCs w:val="18"/>
                <w:lang w:val="en-GB"/>
              </w:rPr>
              <w:t xml:space="preserve"> </w:t>
            </w:r>
          </w:p>
        </w:tc>
        <w:tc>
          <w:tcPr>
            <w:tcW w:w="1843" w:type="dxa"/>
          </w:tcPr>
          <w:p w14:paraId="2DF32266" w14:textId="77777777" w:rsidR="005B5EDA" w:rsidRPr="006B464B" w:rsidRDefault="005B5EDA" w:rsidP="00CF3A42">
            <w:pPr>
              <w:pStyle w:val="NoSpacing"/>
              <w:jc w:val="center"/>
              <w:rPr>
                <w:sz w:val="20"/>
                <w:szCs w:val="20"/>
                <w:lang w:val="en-GB"/>
              </w:rPr>
            </w:pPr>
            <w:r w:rsidRPr="006B464B">
              <w:rPr>
                <w:sz w:val="20"/>
                <w:szCs w:val="20"/>
                <w:lang w:val="en-GB"/>
              </w:rPr>
              <w:t>4</w:t>
            </w:r>
          </w:p>
        </w:tc>
      </w:tr>
      <w:tr w:rsidR="005B5EDA" w:rsidRPr="006B464B" w14:paraId="46800A4E" w14:textId="77777777" w:rsidTr="005B5EDA">
        <w:tc>
          <w:tcPr>
            <w:tcW w:w="6767" w:type="dxa"/>
          </w:tcPr>
          <w:p w14:paraId="11230982" w14:textId="77777777" w:rsidR="005B5EDA" w:rsidRPr="006B464B" w:rsidRDefault="005B5EDA" w:rsidP="00CF3A42">
            <w:pPr>
              <w:pStyle w:val="NoSpacing"/>
              <w:jc w:val="center"/>
              <w:rPr>
                <w:sz w:val="18"/>
                <w:szCs w:val="18"/>
                <w:lang w:val="en-GB"/>
              </w:rPr>
            </w:pPr>
            <w:r w:rsidRPr="006B464B">
              <w:rPr>
                <w:sz w:val="18"/>
                <w:szCs w:val="18"/>
                <w:lang w:val="en-GB"/>
              </w:rPr>
              <w:t xml:space="preserve">Music composition </w:t>
            </w:r>
          </w:p>
        </w:tc>
        <w:tc>
          <w:tcPr>
            <w:tcW w:w="1843" w:type="dxa"/>
          </w:tcPr>
          <w:p w14:paraId="08307834"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0CA2AACB" w14:textId="77777777" w:rsidTr="005B5EDA">
        <w:tc>
          <w:tcPr>
            <w:tcW w:w="6767" w:type="dxa"/>
          </w:tcPr>
          <w:p w14:paraId="39181AA4" w14:textId="77777777" w:rsidR="005B5EDA" w:rsidRPr="006B464B" w:rsidRDefault="005B5EDA" w:rsidP="00CF3A42">
            <w:pPr>
              <w:pStyle w:val="NoSpacing"/>
              <w:jc w:val="center"/>
              <w:rPr>
                <w:sz w:val="18"/>
                <w:szCs w:val="18"/>
                <w:lang w:val="en-GB"/>
              </w:rPr>
            </w:pPr>
            <w:r w:rsidRPr="006B464B">
              <w:rPr>
                <w:sz w:val="18"/>
                <w:szCs w:val="18"/>
                <w:lang w:val="en-GB"/>
              </w:rPr>
              <w:t>Storyboard</w:t>
            </w:r>
          </w:p>
        </w:tc>
        <w:tc>
          <w:tcPr>
            <w:tcW w:w="1843" w:type="dxa"/>
          </w:tcPr>
          <w:p w14:paraId="6CC2EA48" w14:textId="77777777" w:rsidR="005B5EDA" w:rsidRPr="006B464B" w:rsidRDefault="005B5EDA" w:rsidP="00CF3A42">
            <w:pPr>
              <w:pStyle w:val="NoSpacing"/>
              <w:jc w:val="center"/>
              <w:rPr>
                <w:sz w:val="20"/>
                <w:szCs w:val="20"/>
                <w:lang w:val="en-GB"/>
              </w:rPr>
            </w:pPr>
            <w:r w:rsidRPr="006B464B">
              <w:rPr>
                <w:sz w:val="20"/>
                <w:szCs w:val="20"/>
                <w:lang w:val="en-GB"/>
              </w:rPr>
              <w:t>4</w:t>
            </w:r>
          </w:p>
        </w:tc>
      </w:tr>
      <w:tr w:rsidR="005B5EDA" w:rsidRPr="006B464B" w14:paraId="2D912873" w14:textId="77777777" w:rsidTr="005B5EDA">
        <w:tc>
          <w:tcPr>
            <w:tcW w:w="6767" w:type="dxa"/>
          </w:tcPr>
          <w:p w14:paraId="577EF11B" w14:textId="77777777" w:rsidR="005B5EDA" w:rsidRPr="006B464B" w:rsidRDefault="005B5EDA" w:rsidP="00CF3A42">
            <w:pPr>
              <w:pStyle w:val="NoSpacing"/>
              <w:jc w:val="center"/>
              <w:rPr>
                <w:sz w:val="18"/>
                <w:szCs w:val="18"/>
                <w:lang w:val="en-GB"/>
              </w:rPr>
            </w:pPr>
            <w:r w:rsidRPr="006B464B">
              <w:rPr>
                <w:sz w:val="18"/>
                <w:szCs w:val="18"/>
                <w:lang w:val="en-GB"/>
              </w:rPr>
              <w:t>Character modelling</w:t>
            </w:r>
          </w:p>
        </w:tc>
        <w:tc>
          <w:tcPr>
            <w:tcW w:w="1843" w:type="dxa"/>
          </w:tcPr>
          <w:p w14:paraId="3BF47DF6"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0DA5BAF1" w14:textId="77777777" w:rsidTr="005B5EDA">
        <w:tc>
          <w:tcPr>
            <w:tcW w:w="6767" w:type="dxa"/>
          </w:tcPr>
          <w:p w14:paraId="34C994B3" w14:textId="77777777" w:rsidR="005B5EDA" w:rsidRPr="006B464B" w:rsidRDefault="005B5EDA" w:rsidP="00CF3A42">
            <w:pPr>
              <w:pStyle w:val="NoSpacing"/>
              <w:jc w:val="center"/>
              <w:rPr>
                <w:sz w:val="18"/>
                <w:szCs w:val="18"/>
                <w:lang w:val="en-GB"/>
              </w:rPr>
            </w:pPr>
            <w:r w:rsidRPr="006B464B">
              <w:rPr>
                <w:sz w:val="18"/>
                <w:szCs w:val="18"/>
                <w:lang w:val="en-GB"/>
              </w:rPr>
              <w:t>Backgrounds</w:t>
            </w:r>
          </w:p>
        </w:tc>
        <w:tc>
          <w:tcPr>
            <w:tcW w:w="1843" w:type="dxa"/>
          </w:tcPr>
          <w:p w14:paraId="345A7776"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639DCE69" w14:textId="77777777" w:rsidTr="005B5EDA">
        <w:tc>
          <w:tcPr>
            <w:tcW w:w="6767" w:type="dxa"/>
          </w:tcPr>
          <w:p w14:paraId="2A01778F" w14:textId="77777777" w:rsidR="005B5EDA" w:rsidRPr="006B464B" w:rsidRDefault="005B5EDA" w:rsidP="00CF3A42">
            <w:pPr>
              <w:pStyle w:val="NoSpacing"/>
              <w:jc w:val="center"/>
              <w:rPr>
                <w:sz w:val="18"/>
                <w:szCs w:val="18"/>
                <w:lang w:val="en-GB" w:eastAsia="en-US"/>
              </w:rPr>
            </w:pPr>
            <w:r w:rsidRPr="006B464B">
              <w:rPr>
                <w:sz w:val="18"/>
                <w:szCs w:val="18"/>
                <w:lang w:val="en-GB" w:eastAsia="en-US"/>
              </w:rPr>
              <w:t xml:space="preserve">Original voice actor in the leading role </w:t>
            </w:r>
          </w:p>
        </w:tc>
        <w:tc>
          <w:tcPr>
            <w:tcW w:w="1843" w:type="dxa"/>
          </w:tcPr>
          <w:p w14:paraId="155471C8"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589362D9" w14:textId="77777777" w:rsidTr="005B5EDA">
        <w:tc>
          <w:tcPr>
            <w:tcW w:w="6767" w:type="dxa"/>
          </w:tcPr>
          <w:p w14:paraId="38047A4C" w14:textId="77777777" w:rsidR="005B5EDA" w:rsidRPr="006B464B" w:rsidRDefault="005B5EDA" w:rsidP="00CF3A42">
            <w:pPr>
              <w:pStyle w:val="NoSpacing"/>
              <w:jc w:val="center"/>
              <w:rPr>
                <w:sz w:val="18"/>
                <w:szCs w:val="18"/>
                <w:lang w:val="en-GB" w:eastAsia="en-US"/>
              </w:rPr>
            </w:pPr>
            <w:r w:rsidRPr="006B464B">
              <w:rPr>
                <w:sz w:val="18"/>
                <w:szCs w:val="18"/>
                <w:lang w:val="en-GB" w:eastAsia="en-US"/>
              </w:rPr>
              <w:t>Animation director</w:t>
            </w:r>
          </w:p>
        </w:tc>
        <w:tc>
          <w:tcPr>
            <w:tcW w:w="1843" w:type="dxa"/>
          </w:tcPr>
          <w:p w14:paraId="1ED47B85" w14:textId="77777777" w:rsidR="005B5EDA" w:rsidRPr="006B464B" w:rsidRDefault="005B5EDA" w:rsidP="00CF3A42">
            <w:pPr>
              <w:pStyle w:val="NoSpacing"/>
              <w:jc w:val="center"/>
              <w:rPr>
                <w:sz w:val="20"/>
                <w:szCs w:val="20"/>
                <w:lang w:val="en-GB"/>
              </w:rPr>
            </w:pPr>
            <w:r w:rsidRPr="006B464B">
              <w:rPr>
                <w:sz w:val="20"/>
                <w:szCs w:val="20"/>
                <w:lang w:val="en-GB"/>
              </w:rPr>
              <w:t>3</w:t>
            </w:r>
          </w:p>
        </w:tc>
      </w:tr>
      <w:tr w:rsidR="005B5EDA" w:rsidRPr="006B464B" w14:paraId="5E54E86E" w14:textId="77777777" w:rsidTr="005B5EDA">
        <w:tc>
          <w:tcPr>
            <w:tcW w:w="6767" w:type="dxa"/>
          </w:tcPr>
          <w:p w14:paraId="29440E41" w14:textId="77777777" w:rsidR="005B5EDA" w:rsidRPr="006B464B" w:rsidRDefault="005B5EDA" w:rsidP="00CF3A42">
            <w:pPr>
              <w:pStyle w:val="NoSpacing"/>
              <w:jc w:val="center"/>
              <w:rPr>
                <w:sz w:val="18"/>
                <w:szCs w:val="18"/>
                <w:lang w:val="en-GB"/>
              </w:rPr>
            </w:pPr>
            <w:r w:rsidRPr="006B464B">
              <w:rPr>
                <w:sz w:val="18"/>
                <w:szCs w:val="18"/>
                <w:lang w:val="en-GB"/>
              </w:rPr>
              <w:t>75% of expenses for animation in States Parties to the Convention</w:t>
            </w:r>
          </w:p>
        </w:tc>
        <w:tc>
          <w:tcPr>
            <w:tcW w:w="1843" w:type="dxa"/>
          </w:tcPr>
          <w:p w14:paraId="32E38AE9" w14:textId="77777777" w:rsidR="005B5EDA" w:rsidRPr="006B464B" w:rsidRDefault="005B5EDA" w:rsidP="00CF3A42">
            <w:pPr>
              <w:pStyle w:val="NoSpacing"/>
              <w:jc w:val="center"/>
              <w:rPr>
                <w:sz w:val="20"/>
                <w:szCs w:val="20"/>
                <w:lang w:val="en-GB"/>
              </w:rPr>
            </w:pPr>
            <w:r w:rsidRPr="006B464B">
              <w:rPr>
                <w:sz w:val="20"/>
                <w:szCs w:val="20"/>
                <w:lang w:val="en-GB"/>
              </w:rPr>
              <w:t>3</w:t>
            </w:r>
          </w:p>
        </w:tc>
      </w:tr>
      <w:tr w:rsidR="005B5EDA" w:rsidRPr="006B464B" w14:paraId="1FDAC15F" w14:textId="77777777" w:rsidTr="005B5EDA">
        <w:tc>
          <w:tcPr>
            <w:tcW w:w="6767" w:type="dxa"/>
          </w:tcPr>
          <w:p w14:paraId="7A65B15A" w14:textId="77777777" w:rsidR="005B5EDA" w:rsidRPr="006B464B" w:rsidRDefault="005B5EDA" w:rsidP="00CF3A42">
            <w:pPr>
              <w:pStyle w:val="NoSpacing"/>
              <w:jc w:val="center"/>
              <w:rPr>
                <w:sz w:val="18"/>
                <w:szCs w:val="18"/>
                <w:lang w:val="en-GB"/>
              </w:rPr>
            </w:pPr>
            <w:r w:rsidRPr="006B464B">
              <w:rPr>
                <w:sz w:val="18"/>
                <w:szCs w:val="18"/>
                <w:lang w:val="en-GB"/>
              </w:rPr>
              <w:t>Compositing/VFX/lighting</w:t>
            </w:r>
          </w:p>
        </w:tc>
        <w:tc>
          <w:tcPr>
            <w:tcW w:w="1843" w:type="dxa"/>
          </w:tcPr>
          <w:p w14:paraId="2A51D164"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6F361E92" w14:textId="77777777" w:rsidTr="005B5EDA">
        <w:tc>
          <w:tcPr>
            <w:tcW w:w="6767" w:type="dxa"/>
          </w:tcPr>
          <w:p w14:paraId="26391D66" w14:textId="77777777" w:rsidR="005B5EDA" w:rsidRPr="006B464B" w:rsidRDefault="005B5EDA" w:rsidP="00CF3A42">
            <w:pPr>
              <w:pStyle w:val="NoSpacing"/>
              <w:jc w:val="center"/>
              <w:rPr>
                <w:sz w:val="18"/>
                <w:szCs w:val="18"/>
                <w:lang w:val="en-GB"/>
              </w:rPr>
            </w:pPr>
            <w:r w:rsidRPr="006B464B">
              <w:rPr>
                <w:sz w:val="18"/>
                <w:szCs w:val="18"/>
                <w:lang w:val="en-GB"/>
              </w:rPr>
              <w:t>Picture editor</w:t>
            </w:r>
          </w:p>
        </w:tc>
        <w:tc>
          <w:tcPr>
            <w:tcW w:w="1843" w:type="dxa"/>
          </w:tcPr>
          <w:p w14:paraId="78299B42"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262AE39C" w14:textId="77777777" w:rsidTr="005B5EDA">
        <w:tc>
          <w:tcPr>
            <w:tcW w:w="6767" w:type="dxa"/>
          </w:tcPr>
          <w:p w14:paraId="0A3FC0F3" w14:textId="77777777" w:rsidR="005B5EDA" w:rsidRPr="006B464B" w:rsidRDefault="005B5EDA" w:rsidP="00CF3A42">
            <w:pPr>
              <w:pStyle w:val="NoSpacing"/>
              <w:jc w:val="center"/>
              <w:rPr>
                <w:sz w:val="18"/>
                <w:szCs w:val="18"/>
                <w:lang w:val="en-GB"/>
              </w:rPr>
            </w:pPr>
            <w:r w:rsidRPr="006B464B">
              <w:rPr>
                <w:sz w:val="18"/>
                <w:szCs w:val="18"/>
                <w:lang w:val="en-GB"/>
              </w:rPr>
              <w:t>Sound designer</w:t>
            </w:r>
          </w:p>
        </w:tc>
        <w:tc>
          <w:tcPr>
            <w:tcW w:w="1843" w:type="dxa"/>
          </w:tcPr>
          <w:p w14:paraId="4AD9F222" w14:textId="77777777" w:rsidR="005B5EDA" w:rsidRPr="006B464B" w:rsidRDefault="005B5EDA" w:rsidP="00CF3A42">
            <w:pPr>
              <w:pStyle w:val="NoSpacing"/>
              <w:jc w:val="center"/>
              <w:rPr>
                <w:sz w:val="18"/>
                <w:szCs w:val="18"/>
                <w:lang w:val="en-GB"/>
              </w:rPr>
            </w:pPr>
            <w:r w:rsidRPr="006B464B">
              <w:rPr>
                <w:sz w:val="18"/>
                <w:szCs w:val="18"/>
                <w:lang w:val="en-GB"/>
              </w:rPr>
              <w:t>2</w:t>
            </w:r>
          </w:p>
        </w:tc>
      </w:tr>
      <w:tr w:rsidR="005B5EDA" w:rsidRPr="006B464B" w14:paraId="1FEFD4A2" w14:textId="77777777" w:rsidTr="005B5EDA">
        <w:tc>
          <w:tcPr>
            <w:tcW w:w="6767" w:type="dxa"/>
          </w:tcPr>
          <w:p w14:paraId="566AA8AB" w14:textId="77777777" w:rsidR="005B5EDA" w:rsidRPr="006B464B" w:rsidRDefault="005B5EDA" w:rsidP="00CF3A42">
            <w:pPr>
              <w:pStyle w:val="NoSpacing"/>
              <w:jc w:val="center"/>
              <w:rPr>
                <w:sz w:val="20"/>
                <w:szCs w:val="20"/>
                <w:lang w:val="en-GB"/>
              </w:rPr>
            </w:pPr>
          </w:p>
        </w:tc>
        <w:tc>
          <w:tcPr>
            <w:tcW w:w="1843" w:type="dxa"/>
          </w:tcPr>
          <w:p w14:paraId="54D58F85" w14:textId="77777777" w:rsidR="005B5EDA" w:rsidRPr="006B464B" w:rsidDel="00847534" w:rsidRDefault="005B5EDA" w:rsidP="00CF3A42">
            <w:pPr>
              <w:pStyle w:val="NoSpacing"/>
              <w:jc w:val="center"/>
              <w:rPr>
                <w:sz w:val="20"/>
                <w:szCs w:val="20"/>
                <w:lang w:val="en-GB"/>
              </w:rPr>
            </w:pPr>
          </w:p>
        </w:tc>
      </w:tr>
      <w:tr w:rsidR="005B5EDA" w:rsidRPr="006B464B" w14:paraId="4365A852" w14:textId="77777777" w:rsidTr="005B5EDA">
        <w:tc>
          <w:tcPr>
            <w:tcW w:w="6767" w:type="dxa"/>
          </w:tcPr>
          <w:p w14:paraId="4EBD133B" w14:textId="77777777" w:rsidR="005B5EDA" w:rsidRPr="006B464B" w:rsidRDefault="005B5EDA" w:rsidP="00CF3A42">
            <w:pPr>
              <w:pStyle w:val="NoSpacing"/>
              <w:jc w:val="center"/>
              <w:rPr>
                <w:b/>
                <w:bCs/>
                <w:lang w:val="en-GB"/>
              </w:rPr>
            </w:pPr>
            <w:r w:rsidRPr="006B464B">
              <w:rPr>
                <w:b/>
                <w:bCs/>
                <w:lang w:val="en-GB"/>
              </w:rPr>
              <w:t>Total</w:t>
            </w:r>
          </w:p>
        </w:tc>
        <w:tc>
          <w:tcPr>
            <w:tcW w:w="1843" w:type="dxa"/>
          </w:tcPr>
          <w:p w14:paraId="4697AA1B" w14:textId="77777777" w:rsidR="005B5EDA" w:rsidRPr="006B464B" w:rsidRDefault="005B5EDA" w:rsidP="00CF3A42">
            <w:pPr>
              <w:pStyle w:val="NoSpacing"/>
              <w:jc w:val="center"/>
              <w:rPr>
                <w:b/>
                <w:bCs/>
                <w:lang w:val="en-GB"/>
              </w:rPr>
            </w:pPr>
            <w:r w:rsidRPr="006B464B">
              <w:rPr>
                <w:b/>
                <w:bCs/>
                <w:lang w:val="en-GB"/>
              </w:rPr>
              <w:t>40</w:t>
            </w:r>
          </w:p>
        </w:tc>
      </w:tr>
    </w:tbl>
    <w:p w14:paraId="2DF73BD0" w14:textId="77777777" w:rsidR="005B5EDA" w:rsidRDefault="005B5EDA" w:rsidP="005B5EDA">
      <w:pPr>
        <w:pStyle w:val="NoSpacing"/>
        <w:rPr>
          <w:sz w:val="20"/>
          <w:szCs w:val="20"/>
          <w:lang w:val="en-GB"/>
        </w:rPr>
      </w:pPr>
    </w:p>
    <w:p w14:paraId="00BE753B" w14:textId="77777777" w:rsidR="005B5EDA" w:rsidRPr="006B464B" w:rsidRDefault="005B5EDA" w:rsidP="00BC796C">
      <w:pPr>
        <w:pStyle w:val="ListParagraph"/>
        <w:widowControl w:val="0"/>
        <w:numPr>
          <w:ilvl w:val="2"/>
          <w:numId w:val="29"/>
        </w:numPr>
        <w:autoSpaceDE w:val="0"/>
        <w:autoSpaceDN w:val="0"/>
        <w:ind w:left="0" w:right="117" w:firstLine="0"/>
        <w:contextualSpacing w:val="0"/>
        <w:rPr>
          <w:szCs w:val="20"/>
        </w:rPr>
      </w:pPr>
      <w:r w:rsidRPr="006B464B">
        <w:rPr>
          <w:szCs w:val="20"/>
        </w:rPr>
        <w:t xml:space="preserve">A documentary series qualifies as an official co-production in the sense of Article 3, sub-paragraph f, if </w:t>
      </w:r>
      <w:proofErr w:type="gramStart"/>
      <w:r w:rsidRPr="006B464B">
        <w:rPr>
          <w:szCs w:val="20"/>
        </w:rPr>
        <w:t>with regard to</w:t>
      </w:r>
      <w:proofErr w:type="gramEnd"/>
      <w:r w:rsidRPr="006B464B">
        <w:rPr>
          <w:szCs w:val="20"/>
        </w:rPr>
        <w:t xml:space="preserve"> the elements originating in the States Parties to the Convention it obtains at least 50% of the total applicable points according to the list of elements set out in Table 3. </w:t>
      </w:r>
    </w:p>
    <w:p w14:paraId="25A403AB" w14:textId="77777777" w:rsidR="005B5EDA" w:rsidRPr="006B464B" w:rsidRDefault="005B5EDA" w:rsidP="00BC796C">
      <w:pPr>
        <w:pStyle w:val="NoSpacing"/>
        <w:rPr>
          <w:sz w:val="20"/>
          <w:szCs w:val="20"/>
          <w:lang w:val="en-GB"/>
        </w:rPr>
      </w:pPr>
    </w:p>
    <w:p w14:paraId="202D898C" w14:textId="77777777" w:rsidR="005B5EDA" w:rsidRPr="006B464B" w:rsidRDefault="005B5EDA" w:rsidP="00BC796C">
      <w:pPr>
        <w:pStyle w:val="ListParagraph"/>
        <w:widowControl w:val="0"/>
        <w:numPr>
          <w:ilvl w:val="2"/>
          <w:numId w:val="29"/>
        </w:numPr>
        <w:autoSpaceDE w:val="0"/>
        <w:autoSpaceDN w:val="0"/>
        <w:ind w:left="0" w:right="117" w:firstLine="0"/>
        <w:contextualSpacing w:val="0"/>
        <w:rPr>
          <w:szCs w:val="20"/>
        </w:rPr>
      </w:pPr>
      <w:r w:rsidRPr="006B464B">
        <w:rPr>
          <w:szCs w:val="20"/>
        </w:rPr>
        <w:t>Having regard to the characteristics of the co-production, the competent authorities may, after consulting each other, grant official co-production status to a work with a number of points that is less than the normally required 50% of the total applicable points.</w:t>
      </w:r>
    </w:p>
    <w:p w14:paraId="0E027759" w14:textId="77777777" w:rsidR="005B5EDA" w:rsidRPr="006B464B" w:rsidRDefault="005B5EDA" w:rsidP="00BC796C">
      <w:pPr>
        <w:pStyle w:val="ListParagraph"/>
        <w:ind w:left="0"/>
        <w:rPr>
          <w:szCs w:val="20"/>
        </w:rPr>
      </w:pPr>
    </w:p>
    <w:p w14:paraId="0FA94500" w14:textId="77777777" w:rsidR="005B5EDA" w:rsidRPr="006B464B" w:rsidRDefault="005B5EDA" w:rsidP="00BC796C">
      <w:pPr>
        <w:pStyle w:val="ListParagraph"/>
        <w:widowControl w:val="0"/>
        <w:numPr>
          <w:ilvl w:val="2"/>
          <w:numId w:val="29"/>
        </w:numPr>
        <w:autoSpaceDE w:val="0"/>
        <w:autoSpaceDN w:val="0"/>
        <w:ind w:left="0" w:right="117" w:firstLine="0"/>
        <w:contextualSpacing w:val="0"/>
        <w:rPr>
          <w:szCs w:val="20"/>
        </w:rPr>
      </w:pPr>
      <w:r w:rsidRPr="006B464B">
        <w:rPr>
          <w:szCs w:val="20"/>
        </w:rPr>
        <w:t xml:space="preserve">The official co-production status is granted to a season. In the case of recurring seasons, the independent co-producers must submit an application for each season separately. </w:t>
      </w:r>
    </w:p>
    <w:p w14:paraId="6BC8BA8C" w14:textId="77777777" w:rsidR="005B5EDA" w:rsidRPr="006B464B" w:rsidRDefault="005B5EDA" w:rsidP="005B5EDA">
      <w:pPr>
        <w:pStyle w:val="NoSpacing"/>
        <w:rPr>
          <w:sz w:val="20"/>
          <w:szCs w:val="20"/>
          <w:lang w:val="en-GB"/>
        </w:rPr>
      </w:pPr>
    </w:p>
    <w:p w14:paraId="0EA96F22" w14:textId="77777777" w:rsidR="005B5EDA" w:rsidRPr="006B464B" w:rsidRDefault="005B5EDA" w:rsidP="005B5EDA">
      <w:pPr>
        <w:pStyle w:val="NoSpacing"/>
        <w:rPr>
          <w:b/>
          <w:bCs/>
          <w:sz w:val="20"/>
          <w:szCs w:val="20"/>
          <w:lang w:val="en-GB"/>
        </w:rPr>
      </w:pPr>
      <w:r w:rsidRPr="006B464B">
        <w:rPr>
          <w:sz w:val="20"/>
          <w:szCs w:val="20"/>
          <w:lang w:val="en-GB"/>
        </w:rPr>
        <w:t xml:space="preserve">               </w:t>
      </w:r>
      <w:r w:rsidRPr="006B464B">
        <w:rPr>
          <w:b/>
          <w:bCs/>
          <w:sz w:val="20"/>
          <w:szCs w:val="20"/>
          <w:lang w:val="en-GB"/>
        </w:rPr>
        <w:t>Table 3 – Documentary – One season</w:t>
      </w:r>
    </w:p>
    <w:p w14:paraId="15191431" w14:textId="77777777" w:rsidR="005B5EDA" w:rsidRPr="006B464B" w:rsidRDefault="005B5EDA" w:rsidP="005B5EDA">
      <w:pPr>
        <w:pStyle w:val="NoSpacing"/>
        <w:rPr>
          <w:sz w:val="20"/>
          <w:szCs w:val="20"/>
          <w:lang w:val="en-GB"/>
        </w:rPr>
      </w:pPr>
    </w:p>
    <w:tbl>
      <w:tblPr>
        <w:tblStyle w:val="TableGrid"/>
        <w:tblW w:w="0" w:type="auto"/>
        <w:tblInd w:w="828" w:type="dxa"/>
        <w:tblLayout w:type="fixed"/>
        <w:tblLook w:val="04A0" w:firstRow="1" w:lastRow="0" w:firstColumn="1" w:lastColumn="0" w:noHBand="0" w:noVBand="1"/>
      </w:tblPr>
      <w:tblGrid>
        <w:gridCol w:w="6822"/>
        <w:gridCol w:w="1843"/>
      </w:tblGrid>
      <w:tr w:rsidR="005B5EDA" w:rsidRPr="006B464B" w14:paraId="6427F905" w14:textId="77777777" w:rsidTr="005B5EDA">
        <w:tc>
          <w:tcPr>
            <w:tcW w:w="6822" w:type="dxa"/>
          </w:tcPr>
          <w:p w14:paraId="7E284F0C" w14:textId="371C8111" w:rsidR="005B5EDA" w:rsidRPr="006B464B" w:rsidRDefault="005B5EDA" w:rsidP="00CF3A42">
            <w:pPr>
              <w:pStyle w:val="NoSpacing"/>
              <w:jc w:val="center"/>
              <w:rPr>
                <w:b/>
                <w:bCs/>
                <w:sz w:val="20"/>
                <w:szCs w:val="20"/>
                <w:lang w:val="en-GB"/>
              </w:rPr>
            </w:pPr>
            <w:r w:rsidRPr="006B464B">
              <w:rPr>
                <w:b/>
                <w:bCs/>
                <w:sz w:val="20"/>
                <w:szCs w:val="20"/>
                <w:lang w:val="en-GB"/>
              </w:rPr>
              <w:t>Elements originating in</w:t>
            </w:r>
            <w:r>
              <w:rPr>
                <w:b/>
                <w:bCs/>
                <w:sz w:val="20"/>
                <w:szCs w:val="20"/>
                <w:lang w:val="en-GB"/>
              </w:rPr>
              <w:t xml:space="preserve"> </w:t>
            </w:r>
            <w:r w:rsidRPr="006B464B">
              <w:rPr>
                <w:b/>
                <w:bCs/>
                <w:sz w:val="20"/>
                <w:szCs w:val="20"/>
                <w:lang w:val="en-GB"/>
              </w:rPr>
              <w:t>States Parties to the Convention</w:t>
            </w:r>
          </w:p>
        </w:tc>
        <w:tc>
          <w:tcPr>
            <w:tcW w:w="1843" w:type="dxa"/>
            <w:vAlign w:val="center"/>
          </w:tcPr>
          <w:p w14:paraId="6B6D88DA" w14:textId="77777777" w:rsidR="005B5EDA" w:rsidRPr="006B464B" w:rsidRDefault="005B5EDA" w:rsidP="00CF3A42">
            <w:pPr>
              <w:pStyle w:val="NoSpacing"/>
              <w:jc w:val="center"/>
              <w:rPr>
                <w:b/>
                <w:bCs/>
                <w:sz w:val="20"/>
                <w:szCs w:val="20"/>
                <w:lang w:val="en-GB"/>
              </w:rPr>
            </w:pPr>
            <w:r w:rsidRPr="006B464B">
              <w:rPr>
                <w:b/>
                <w:bCs/>
                <w:sz w:val="20"/>
                <w:szCs w:val="20"/>
                <w:lang w:val="en-GB"/>
              </w:rPr>
              <w:t>Weighting points</w:t>
            </w:r>
          </w:p>
        </w:tc>
      </w:tr>
      <w:tr w:rsidR="005B5EDA" w:rsidRPr="006B464B" w14:paraId="44876F42" w14:textId="77777777" w:rsidTr="005B5EDA">
        <w:tc>
          <w:tcPr>
            <w:tcW w:w="6822" w:type="dxa"/>
          </w:tcPr>
          <w:p w14:paraId="6C892F52" w14:textId="77777777" w:rsidR="005B5EDA" w:rsidRPr="006B464B" w:rsidRDefault="005B5EDA" w:rsidP="00CF3A42">
            <w:pPr>
              <w:pStyle w:val="NoSpacing"/>
              <w:jc w:val="center"/>
              <w:rPr>
                <w:sz w:val="18"/>
                <w:szCs w:val="18"/>
                <w:lang w:val="en-GB"/>
              </w:rPr>
            </w:pPr>
            <w:r w:rsidRPr="006B464B">
              <w:rPr>
                <w:sz w:val="18"/>
                <w:szCs w:val="18"/>
                <w:lang w:val="en-GB"/>
              </w:rPr>
              <w:t xml:space="preserve">Series creator </w:t>
            </w:r>
          </w:p>
        </w:tc>
        <w:tc>
          <w:tcPr>
            <w:tcW w:w="1843" w:type="dxa"/>
          </w:tcPr>
          <w:p w14:paraId="65E95C51" w14:textId="77777777" w:rsidR="005B5EDA" w:rsidRPr="006B464B" w:rsidRDefault="005B5EDA" w:rsidP="00CF3A42">
            <w:pPr>
              <w:pStyle w:val="NoSpacing"/>
              <w:jc w:val="center"/>
              <w:rPr>
                <w:sz w:val="20"/>
                <w:szCs w:val="20"/>
                <w:lang w:val="en-GB"/>
              </w:rPr>
            </w:pPr>
            <w:r w:rsidRPr="006B464B">
              <w:rPr>
                <w:sz w:val="20"/>
                <w:szCs w:val="20"/>
                <w:lang w:val="en-GB"/>
              </w:rPr>
              <w:t>5</w:t>
            </w:r>
          </w:p>
        </w:tc>
      </w:tr>
      <w:tr w:rsidR="005B5EDA" w:rsidRPr="006B464B" w14:paraId="71F47A26" w14:textId="77777777" w:rsidTr="005B5EDA">
        <w:tc>
          <w:tcPr>
            <w:tcW w:w="6822" w:type="dxa"/>
          </w:tcPr>
          <w:p w14:paraId="1AC41D08" w14:textId="77777777" w:rsidR="005B5EDA" w:rsidRPr="006B464B" w:rsidRDefault="005B5EDA" w:rsidP="00CF3A42">
            <w:pPr>
              <w:pStyle w:val="NoSpacing"/>
              <w:jc w:val="center"/>
              <w:rPr>
                <w:sz w:val="18"/>
                <w:szCs w:val="18"/>
                <w:lang w:val="en-GB"/>
              </w:rPr>
            </w:pPr>
            <w:r w:rsidRPr="006B464B">
              <w:rPr>
                <w:sz w:val="18"/>
                <w:szCs w:val="18"/>
                <w:lang w:val="en-GB"/>
              </w:rPr>
              <w:t>Scriptwriter(s)</w:t>
            </w:r>
          </w:p>
        </w:tc>
        <w:tc>
          <w:tcPr>
            <w:tcW w:w="1843" w:type="dxa"/>
          </w:tcPr>
          <w:p w14:paraId="709A7E84" w14:textId="77777777" w:rsidR="005B5EDA" w:rsidRPr="006B464B" w:rsidRDefault="005B5EDA" w:rsidP="00CF3A42">
            <w:pPr>
              <w:pStyle w:val="NoSpacing"/>
              <w:jc w:val="center"/>
              <w:rPr>
                <w:sz w:val="20"/>
                <w:szCs w:val="20"/>
                <w:lang w:val="en-GB"/>
              </w:rPr>
            </w:pPr>
            <w:r w:rsidRPr="006B464B">
              <w:rPr>
                <w:sz w:val="20"/>
                <w:szCs w:val="20"/>
                <w:lang w:val="en-GB"/>
              </w:rPr>
              <w:t>3</w:t>
            </w:r>
          </w:p>
        </w:tc>
      </w:tr>
      <w:tr w:rsidR="005B5EDA" w:rsidRPr="006B464B" w14:paraId="39667C1D" w14:textId="77777777" w:rsidTr="005B5EDA">
        <w:tc>
          <w:tcPr>
            <w:tcW w:w="6822" w:type="dxa"/>
          </w:tcPr>
          <w:p w14:paraId="4AFEE8BC" w14:textId="77777777" w:rsidR="005B5EDA" w:rsidRPr="006B464B" w:rsidRDefault="005B5EDA" w:rsidP="00CF3A42">
            <w:pPr>
              <w:pStyle w:val="NoSpacing"/>
              <w:jc w:val="center"/>
              <w:rPr>
                <w:sz w:val="18"/>
                <w:szCs w:val="18"/>
                <w:lang w:val="en-GB"/>
              </w:rPr>
            </w:pPr>
            <w:r w:rsidRPr="006B464B">
              <w:rPr>
                <w:sz w:val="18"/>
                <w:szCs w:val="18"/>
                <w:lang w:val="en-GB"/>
              </w:rPr>
              <w:t>Director(s)</w:t>
            </w:r>
          </w:p>
        </w:tc>
        <w:tc>
          <w:tcPr>
            <w:tcW w:w="1843" w:type="dxa"/>
          </w:tcPr>
          <w:p w14:paraId="3033418D"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62F9D847" w14:textId="77777777" w:rsidTr="005B5EDA">
        <w:tc>
          <w:tcPr>
            <w:tcW w:w="6822" w:type="dxa"/>
          </w:tcPr>
          <w:p w14:paraId="2BB43FB9" w14:textId="77777777" w:rsidR="005B5EDA" w:rsidRPr="006B464B" w:rsidRDefault="005B5EDA" w:rsidP="00CF3A42">
            <w:pPr>
              <w:pStyle w:val="NoSpacing"/>
              <w:jc w:val="center"/>
              <w:rPr>
                <w:sz w:val="18"/>
                <w:szCs w:val="18"/>
                <w:lang w:val="en-GB"/>
              </w:rPr>
            </w:pPr>
            <w:r w:rsidRPr="006B464B">
              <w:rPr>
                <w:sz w:val="18"/>
                <w:szCs w:val="18"/>
                <w:lang w:val="en-GB"/>
              </w:rPr>
              <w:t xml:space="preserve">Researcher </w:t>
            </w:r>
          </w:p>
        </w:tc>
        <w:tc>
          <w:tcPr>
            <w:tcW w:w="1843" w:type="dxa"/>
          </w:tcPr>
          <w:p w14:paraId="3CFD7838"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0D78E833" w14:textId="77777777" w:rsidTr="005B5EDA">
        <w:tc>
          <w:tcPr>
            <w:tcW w:w="6822" w:type="dxa"/>
          </w:tcPr>
          <w:p w14:paraId="25EB1720" w14:textId="77777777" w:rsidR="005B5EDA" w:rsidRPr="006B464B" w:rsidRDefault="005B5EDA" w:rsidP="00CF3A42">
            <w:pPr>
              <w:pStyle w:val="NoSpacing"/>
              <w:jc w:val="center"/>
              <w:rPr>
                <w:sz w:val="18"/>
                <w:szCs w:val="18"/>
                <w:lang w:val="en-GB"/>
              </w:rPr>
            </w:pPr>
            <w:r w:rsidRPr="006B464B">
              <w:rPr>
                <w:sz w:val="18"/>
                <w:szCs w:val="18"/>
                <w:lang w:val="en-GB"/>
              </w:rPr>
              <w:t>Composer</w:t>
            </w:r>
          </w:p>
        </w:tc>
        <w:tc>
          <w:tcPr>
            <w:tcW w:w="1843" w:type="dxa"/>
          </w:tcPr>
          <w:p w14:paraId="46E2FFB7"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04EF2750" w14:textId="77777777" w:rsidTr="005B5EDA">
        <w:tc>
          <w:tcPr>
            <w:tcW w:w="6822" w:type="dxa"/>
          </w:tcPr>
          <w:p w14:paraId="7270A266" w14:textId="77777777" w:rsidR="005B5EDA" w:rsidRPr="006B464B" w:rsidRDefault="005B5EDA" w:rsidP="00CF3A42">
            <w:pPr>
              <w:pStyle w:val="NoSpacing"/>
              <w:jc w:val="center"/>
              <w:rPr>
                <w:sz w:val="18"/>
                <w:szCs w:val="18"/>
                <w:lang w:val="en-GB"/>
              </w:rPr>
            </w:pPr>
            <w:r w:rsidRPr="009476A1">
              <w:rPr>
                <w:sz w:val="18"/>
                <w:szCs w:val="18"/>
                <w:lang w:val="en-GB"/>
              </w:rPr>
              <w:t>Director of photography</w:t>
            </w:r>
          </w:p>
        </w:tc>
        <w:tc>
          <w:tcPr>
            <w:tcW w:w="1843" w:type="dxa"/>
          </w:tcPr>
          <w:p w14:paraId="661313E5" w14:textId="77777777" w:rsidR="005B5EDA" w:rsidRPr="006B464B" w:rsidRDefault="005B5EDA" w:rsidP="00CF3A42">
            <w:pPr>
              <w:pStyle w:val="NoSpacing"/>
              <w:jc w:val="center"/>
              <w:rPr>
                <w:sz w:val="20"/>
                <w:szCs w:val="20"/>
                <w:lang w:val="en-GB"/>
              </w:rPr>
            </w:pPr>
            <w:r w:rsidRPr="006B464B">
              <w:rPr>
                <w:sz w:val="20"/>
                <w:szCs w:val="20"/>
                <w:lang w:val="en-GB"/>
              </w:rPr>
              <w:t>3</w:t>
            </w:r>
          </w:p>
        </w:tc>
      </w:tr>
      <w:tr w:rsidR="005B5EDA" w:rsidRPr="006B464B" w14:paraId="1A2FCF58" w14:textId="77777777" w:rsidTr="005B5EDA">
        <w:tc>
          <w:tcPr>
            <w:tcW w:w="6822" w:type="dxa"/>
          </w:tcPr>
          <w:p w14:paraId="65C3E9D9" w14:textId="77777777" w:rsidR="005B5EDA" w:rsidRPr="006B464B" w:rsidRDefault="005B5EDA" w:rsidP="00CF3A42">
            <w:pPr>
              <w:pStyle w:val="NoSpacing"/>
              <w:jc w:val="center"/>
              <w:rPr>
                <w:sz w:val="18"/>
                <w:szCs w:val="18"/>
                <w:lang w:val="en-GB"/>
              </w:rPr>
            </w:pPr>
            <w:r>
              <w:rPr>
                <w:sz w:val="18"/>
                <w:szCs w:val="18"/>
                <w:lang w:val="en-GB"/>
              </w:rPr>
              <w:t>Picture e</w:t>
            </w:r>
            <w:r w:rsidRPr="006B464B">
              <w:rPr>
                <w:sz w:val="18"/>
                <w:szCs w:val="18"/>
                <w:lang w:val="en-GB"/>
              </w:rPr>
              <w:t>ditor</w:t>
            </w:r>
          </w:p>
        </w:tc>
        <w:tc>
          <w:tcPr>
            <w:tcW w:w="1843" w:type="dxa"/>
          </w:tcPr>
          <w:p w14:paraId="27EF161B" w14:textId="77777777" w:rsidR="005B5EDA" w:rsidRPr="006B464B" w:rsidRDefault="005B5EDA" w:rsidP="00CF3A42">
            <w:pPr>
              <w:pStyle w:val="NoSpacing"/>
              <w:jc w:val="center"/>
              <w:rPr>
                <w:sz w:val="20"/>
                <w:szCs w:val="20"/>
                <w:lang w:val="en-GB"/>
              </w:rPr>
            </w:pPr>
            <w:r w:rsidRPr="006B464B">
              <w:rPr>
                <w:sz w:val="20"/>
                <w:szCs w:val="20"/>
                <w:lang w:val="en-GB"/>
              </w:rPr>
              <w:t>3</w:t>
            </w:r>
          </w:p>
        </w:tc>
      </w:tr>
      <w:tr w:rsidR="005B5EDA" w:rsidRPr="006B464B" w14:paraId="2EFF76E5" w14:textId="77777777" w:rsidTr="005B5EDA">
        <w:tc>
          <w:tcPr>
            <w:tcW w:w="6822" w:type="dxa"/>
          </w:tcPr>
          <w:p w14:paraId="37322C06" w14:textId="77777777" w:rsidR="005B5EDA" w:rsidRPr="006B464B" w:rsidRDefault="005B5EDA" w:rsidP="00CF3A42">
            <w:pPr>
              <w:pStyle w:val="NoSpacing"/>
              <w:jc w:val="center"/>
              <w:rPr>
                <w:sz w:val="18"/>
                <w:szCs w:val="18"/>
                <w:lang w:val="en-GB"/>
              </w:rPr>
            </w:pPr>
            <w:r w:rsidRPr="006B464B">
              <w:rPr>
                <w:sz w:val="18"/>
                <w:szCs w:val="18"/>
                <w:lang w:val="en-GB"/>
              </w:rPr>
              <w:t>Sound designer</w:t>
            </w:r>
          </w:p>
        </w:tc>
        <w:tc>
          <w:tcPr>
            <w:tcW w:w="1843" w:type="dxa"/>
          </w:tcPr>
          <w:p w14:paraId="1ACFBFD8"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65BDB999" w14:textId="77777777" w:rsidTr="005B5EDA">
        <w:tc>
          <w:tcPr>
            <w:tcW w:w="6822" w:type="dxa"/>
          </w:tcPr>
          <w:p w14:paraId="1980F63A" w14:textId="77777777" w:rsidR="005B5EDA" w:rsidRPr="006B464B" w:rsidRDefault="005B5EDA" w:rsidP="00CF3A42">
            <w:pPr>
              <w:pStyle w:val="NoSpacing"/>
              <w:jc w:val="center"/>
              <w:rPr>
                <w:sz w:val="18"/>
                <w:szCs w:val="18"/>
                <w:lang w:val="en-GB"/>
              </w:rPr>
            </w:pPr>
            <w:r w:rsidRPr="006B464B">
              <w:rPr>
                <w:sz w:val="18"/>
                <w:szCs w:val="18"/>
                <w:lang w:val="en-GB"/>
              </w:rPr>
              <w:t>Shooting location</w:t>
            </w:r>
          </w:p>
        </w:tc>
        <w:tc>
          <w:tcPr>
            <w:tcW w:w="1843" w:type="dxa"/>
          </w:tcPr>
          <w:p w14:paraId="0372CA0B" w14:textId="77777777" w:rsidR="005B5EDA" w:rsidRPr="006B464B" w:rsidRDefault="005B5EDA" w:rsidP="00CF3A42">
            <w:pPr>
              <w:pStyle w:val="NoSpacing"/>
              <w:jc w:val="center"/>
              <w:rPr>
                <w:sz w:val="20"/>
                <w:szCs w:val="20"/>
                <w:lang w:val="en-GB"/>
              </w:rPr>
            </w:pPr>
            <w:r w:rsidRPr="006B464B">
              <w:rPr>
                <w:sz w:val="20"/>
                <w:szCs w:val="20"/>
                <w:lang w:val="en-GB"/>
              </w:rPr>
              <w:t>1</w:t>
            </w:r>
          </w:p>
        </w:tc>
      </w:tr>
      <w:tr w:rsidR="005B5EDA" w:rsidRPr="006B464B" w14:paraId="6B9F97E4" w14:textId="77777777" w:rsidTr="005B5EDA">
        <w:tc>
          <w:tcPr>
            <w:tcW w:w="6822" w:type="dxa"/>
          </w:tcPr>
          <w:p w14:paraId="3A8605DD" w14:textId="77777777" w:rsidR="005B5EDA" w:rsidRPr="006B464B" w:rsidRDefault="005B5EDA" w:rsidP="00CF3A42">
            <w:pPr>
              <w:pStyle w:val="NoSpacing"/>
              <w:jc w:val="center"/>
              <w:rPr>
                <w:sz w:val="18"/>
                <w:szCs w:val="18"/>
                <w:lang w:val="en-GB"/>
              </w:rPr>
            </w:pPr>
            <w:r w:rsidRPr="006B464B">
              <w:rPr>
                <w:sz w:val="18"/>
                <w:szCs w:val="18"/>
                <w:lang w:val="en-GB"/>
              </w:rPr>
              <w:t>VFX and CGI</w:t>
            </w:r>
          </w:p>
        </w:tc>
        <w:tc>
          <w:tcPr>
            <w:tcW w:w="1843" w:type="dxa"/>
          </w:tcPr>
          <w:p w14:paraId="429BBC9C" w14:textId="77777777" w:rsidR="005B5EDA" w:rsidRPr="006B464B" w:rsidRDefault="005B5EDA" w:rsidP="00CF3A42">
            <w:pPr>
              <w:pStyle w:val="NoSpacing"/>
              <w:jc w:val="center"/>
              <w:rPr>
                <w:sz w:val="20"/>
                <w:szCs w:val="20"/>
                <w:lang w:val="en-GB"/>
              </w:rPr>
            </w:pPr>
            <w:r w:rsidRPr="006B464B">
              <w:rPr>
                <w:sz w:val="20"/>
                <w:szCs w:val="20"/>
                <w:lang w:val="en-GB"/>
              </w:rPr>
              <w:t>1</w:t>
            </w:r>
          </w:p>
        </w:tc>
      </w:tr>
      <w:tr w:rsidR="005B5EDA" w:rsidRPr="006B464B" w14:paraId="1088A2F2" w14:textId="77777777" w:rsidTr="005B5EDA">
        <w:tc>
          <w:tcPr>
            <w:tcW w:w="6822" w:type="dxa"/>
          </w:tcPr>
          <w:p w14:paraId="64930342" w14:textId="77777777" w:rsidR="005B5EDA" w:rsidRPr="006B464B" w:rsidRDefault="005B5EDA" w:rsidP="00CF3A42">
            <w:pPr>
              <w:pStyle w:val="NoSpacing"/>
              <w:jc w:val="center"/>
              <w:rPr>
                <w:sz w:val="18"/>
                <w:szCs w:val="18"/>
                <w:lang w:val="en-GB"/>
              </w:rPr>
            </w:pPr>
            <w:r w:rsidRPr="006B464B">
              <w:rPr>
                <w:sz w:val="18"/>
                <w:szCs w:val="18"/>
                <w:lang w:val="en-GB"/>
              </w:rPr>
              <w:t>Post-production location</w:t>
            </w:r>
          </w:p>
        </w:tc>
        <w:tc>
          <w:tcPr>
            <w:tcW w:w="1843" w:type="dxa"/>
          </w:tcPr>
          <w:p w14:paraId="76F0D783" w14:textId="77777777" w:rsidR="005B5EDA" w:rsidRPr="006B464B" w:rsidRDefault="005B5EDA" w:rsidP="00CF3A42">
            <w:pPr>
              <w:pStyle w:val="NoSpacing"/>
              <w:jc w:val="center"/>
              <w:rPr>
                <w:sz w:val="20"/>
                <w:szCs w:val="20"/>
                <w:lang w:val="en-GB"/>
              </w:rPr>
            </w:pPr>
            <w:r w:rsidRPr="006B464B">
              <w:rPr>
                <w:sz w:val="20"/>
                <w:szCs w:val="20"/>
                <w:lang w:val="en-GB"/>
              </w:rPr>
              <w:t>2</w:t>
            </w:r>
          </w:p>
        </w:tc>
      </w:tr>
      <w:tr w:rsidR="005B5EDA" w:rsidRPr="006B464B" w14:paraId="065D4165" w14:textId="77777777" w:rsidTr="005B5EDA">
        <w:tc>
          <w:tcPr>
            <w:tcW w:w="6822" w:type="dxa"/>
          </w:tcPr>
          <w:p w14:paraId="64DFD62F" w14:textId="77777777" w:rsidR="005B5EDA" w:rsidRPr="006B464B" w:rsidRDefault="005B5EDA" w:rsidP="00CF3A42">
            <w:pPr>
              <w:pStyle w:val="NoSpacing"/>
              <w:jc w:val="center"/>
              <w:rPr>
                <w:sz w:val="18"/>
                <w:szCs w:val="18"/>
                <w:lang w:val="en-GB"/>
              </w:rPr>
            </w:pPr>
          </w:p>
        </w:tc>
        <w:tc>
          <w:tcPr>
            <w:tcW w:w="1843" w:type="dxa"/>
          </w:tcPr>
          <w:p w14:paraId="7A28B2B8" w14:textId="77777777" w:rsidR="005B5EDA" w:rsidRPr="006B464B" w:rsidRDefault="005B5EDA" w:rsidP="00CF3A42">
            <w:pPr>
              <w:pStyle w:val="NoSpacing"/>
              <w:jc w:val="center"/>
              <w:rPr>
                <w:sz w:val="20"/>
                <w:szCs w:val="20"/>
                <w:lang w:val="en-GB"/>
              </w:rPr>
            </w:pPr>
          </w:p>
        </w:tc>
      </w:tr>
      <w:tr w:rsidR="005B5EDA" w:rsidRPr="006B464B" w14:paraId="5C25627C" w14:textId="77777777" w:rsidTr="005B5EDA">
        <w:tc>
          <w:tcPr>
            <w:tcW w:w="6822" w:type="dxa"/>
          </w:tcPr>
          <w:p w14:paraId="42A27F9B" w14:textId="77777777" w:rsidR="005B5EDA" w:rsidRPr="006B464B" w:rsidRDefault="005B5EDA" w:rsidP="00CF3A42">
            <w:pPr>
              <w:pStyle w:val="NoSpacing"/>
              <w:jc w:val="center"/>
              <w:rPr>
                <w:b/>
                <w:bCs/>
                <w:sz w:val="20"/>
                <w:szCs w:val="20"/>
                <w:lang w:val="en-GB"/>
              </w:rPr>
            </w:pPr>
            <w:r w:rsidRPr="006B464B">
              <w:rPr>
                <w:b/>
                <w:bCs/>
                <w:sz w:val="20"/>
                <w:szCs w:val="20"/>
                <w:lang w:val="en-GB"/>
              </w:rPr>
              <w:t>Total</w:t>
            </w:r>
          </w:p>
        </w:tc>
        <w:tc>
          <w:tcPr>
            <w:tcW w:w="1843" w:type="dxa"/>
          </w:tcPr>
          <w:p w14:paraId="6F0634D3" w14:textId="77777777" w:rsidR="005B5EDA" w:rsidRPr="006B464B" w:rsidRDefault="005B5EDA" w:rsidP="00CF3A42">
            <w:pPr>
              <w:pStyle w:val="NoSpacing"/>
              <w:jc w:val="center"/>
              <w:rPr>
                <w:b/>
                <w:bCs/>
                <w:sz w:val="20"/>
                <w:szCs w:val="20"/>
                <w:lang w:val="en-GB"/>
              </w:rPr>
            </w:pPr>
            <w:r w:rsidRPr="006B464B">
              <w:rPr>
                <w:b/>
                <w:bCs/>
                <w:sz w:val="20"/>
                <w:szCs w:val="20"/>
                <w:lang w:val="en-GB"/>
              </w:rPr>
              <w:t>26</w:t>
            </w:r>
          </w:p>
        </w:tc>
      </w:tr>
    </w:tbl>
    <w:p w14:paraId="2140152D" w14:textId="77777777" w:rsidR="005B5EDA" w:rsidRPr="006B464B" w:rsidRDefault="005B5EDA" w:rsidP="005B5EDA">
      <w:pPr>
        <w:pStyle w:val="NoSpacing"/>
        <w:rPr>
          <w:sz w:val="20"/>
          <w:szCs w:val="20"/>
          <w:lang w:val="en-GB"/>
        </w:rPr>
      </w:pPr>
    </w:p>
    <w:bookmarkEnd w:id="12"/>
    <w:p w14:paraId="327928EE" w14:textId="77777777" w:rsidR="005B5EDA" w:rsidRPr="006B464B" w:rsidRDefault="005B5EDA" w:rsidP="005B5EDA">
      <w:pPr>
        <w:rPr>
          <w:szCs w:val="20"/>
        </w:rPr>
      </w:pPr>
    </w:p>
    <w:p w14:paraId="6D23F42C" w14:textId="77777777" w:rsidR="005B5EDA" w:rsidRPr="006B464B" w:rsidRDefault="005B5EDA" w:rsidP="005B5EDA">
      <w:pPr>
        <w:rPr>
          <w:szCs w:val="20"/>
        </w:rPr>
      </w:pPr>
      <w:r w:rsidRPr="006B464B">
        <w:rPr>
          <w:szCs w:val="20"/>
        </w:rPr>
        <w:br w:type="page"/>
      </w:r>
    </w:p>
    <w:p w14:paraId="175B214A" w14:textId="77777777" w:rsidR="005B5EDA" w:rsidRPr="006B464B" w:rsidRDefault="005B5EDA" w:rsidP="005B5EDA">
      <w:pPr>
        <w:pStyle w:val="Heading1"/>
        <w:ind w:left="0"/>
        <w:rPr>
          <w:lang w:val="en-GB"/>
        </w:rPr>
      </w:pPr>
    </w:p>
    <w:p w14:paraId="1E18DD8A" w14:textId="77777777" w:rsidR="005B5EDA" w:rsidRPr="006B464B" w:rsidRDefault="005B5EDA" w:rsidP="005B5EDA">
      <w:pPr>
        <w:pStyle w:val="Heading1"/>
        <w:ind w:left="0"/>
        <w:rPr>
          <w:lang w:val="en-GB"/>
        </w:rPr>
      </w:pPr>
    </w:p>
    <w:p w14:paraId="3AF7BFD0" w14:textId="77777777" w:rsidR="005B5EDA" w:rsidRPr="006B464B" w:rsidRDefault="005B5EDA" w:rsidP="00C64262">
      <w:pPr>
        <w:pStyle w:val="Heading1"/>
        <w:ind w:left="0"/>
        <w:rPr>
          <w:lang w:val="en-GB"/>
        </w:rPr>
      </w:pPr>
      <w:r w:rsidRPr="006B464B">
        <w:rPr>
          <w:lang w:val="en-GB"/>
        </w:rPr>
        <w:t>Appendix II – Application procedure</w:t>
      </w:r>
    </w:p>
    <w:p w14:paraId="4D866FBE" w14:textId="2CA8108D" w:rsidR="005B5EDA" w:rsidRPr="006B464B" w:rsidRDefault="005B5EDA" w:rsidP="00C64262">
      <w:pPr>
        <w:pStyle w:val="NoSpacing"/>
        <w:ind w:left="709" w:hanging="709"/>
        <w:jc w:val="both"/>
        <w:rPr>
          <w:b/>
          <w:bCs/>
          <w:sz w:val="20"/>
          <w:szCs w:val="20"/>
          <w:lang w:val="en-GB"/>
        </w:rPr>
      </w:pPr>
      <w:r w:rsidRPr="006B464B">
        <w:rPr>
          <w:sz w:val="20"/>
          <w:lang w:val="en-GB"/>
        </w:rPr>
        <w:tab/>
      </w:r>
    </w:p>
    <w:p w14:paraId="3979BC6B" w14:textId="77777777" w:rsidR="005B5EDA" w:rsidRPr="006B464B" w:rsidRDefault="005B5EDA" w:rsidP="00C64262">
      <w:pPr>
        <w:pStyle w:val="NoSpacing"/>
        <w:numPr>
          <w:ilvl w:val="0"/>
          <w:numId w:val="31"/>
        </w:numPr>
        <w:ind w:left="709" w:hanging="709"/>
        <w:jc w:val="both"/>
        <w:rPr>
          <w:b/>
          <w:bCs/>
          <w:sz w:val="20"/>
          <w:szCs w:val="20"/>
          <w:lang w:val="en-GB"/>
        </w:rPr>
      </w:pPr>
      <w:r w:rsidRPr="006B464B">
        <w:rPr>
          <w:b/>
          <w:bCs/>
          <w:sz w:val="20"/>
          <w:szCs w:val="20"/>
          <w:lang w:val="en-GB"/>
        </w:rPr>
        <w:t xml:space="preserve">Provisional co-production recognition </w:t>
      </w:r>
    </w:p>
    <w:p w14:paraId="0E3E1A09" w14:textId="77777777" w:rsidR="005B5EDA" w:rsidRPr="006B464B" w:rsidRDefault="005B5EDA" w:rsidP="00C64262">
      <w:pPr>
        <w:pStyle w:val="NoSpacing"/>
        <w:jc w:val="both"/>
        <w:rPr>
          <w:sz w:val="20"/>
          <w:szCs w:val="20"/>
          <w:lang w:val="en-GB"/>
        </w:rPr>
      </w:pPr>
    </w:p>
    <w:p w14:paraId="7F79717B" w14:textId="77777777" w:rsidR="005B5EDA" w:rsidRPr="006B464B" w:rsidRDefault="005B5EDA" w:rsidP="00C64262">
      <w:pPr>
        <w:pStyle w:val="NoSpacing"/>
        <w:rPr>
          <w:sz w:val="20"/>
          <w:szCs w:val="20"/>
          <w:lang w:val="en-GB"/>
        </w:rPr>
      </w:pPr>
      <w:r w:rsidRPr="006B464B">
        <w:rPr>
          <w:sz w:val="20"/>
          <w:szCs w:val="20"/>
          <w:lang w:val="en-GB"/>
        </w:rPr>
        <w:t>In order to benefit from the provisions of this Convention, the independent co-producers established in the Parties must, in due time before the start of principal photography or animation of a season, submit an application for provisional co-production status and attach the documents listed below. These documents must reach the competent authorities at the latest one month before shooting commences in order to allow them to be communicated to the authorities of the other Parties.</w:t>
      </w:r>
    </w:p>
    <w:p w14:paraId="71036DF2" w14:textId="77777777" w:rsidR="005B5EDA" w:rsidRPr="006B464B" w:rsidRDefault="005B5EDA" w:rsidP="00C64262">
      <w:pPr>
        <w:pStyle w:val="NoSpacing"/>
        <w:rPr>
          <w:sz w:val="20"/>
          <w:szCs w:val="20"/>
          <w:lang w:val="en-GB"/>
        </w:rPr>
      </w:pPr>
    </w:p>
    <w:p w14:paraId="2B9DDD45" w14:textId="77777777" w:rsidR="005B5EDA" w:rsidRPr="006B464B" w:rsidRDefault="005B5EDA" w:rsidP="00C64262">
      <w:pPr>
        <w:pStyle w:val="NoSpacing"/>
        <w:rPr>
          <w:sz w:val="20"/>
          <w:lang w:val="en-GB"/>
        </w:rPr>
      </w:pPr>
      <w:r w:rsidRPr="006B464B">
        <w:rPr>
          <w:sz w:val="20"/>
          <w:szCs w:val="20"/>
          <w:lang w:val="en-GB"/>
        </w:rPr>
        <w:t xml:space="preserve">In this communication to the other Parties, each Party must indicate </w:t>
      </w:r>
      <w:r w:rsidRPr="006B464B">
        <w:rPr>
          <w:sz w:val="20"/>
          <w:lang w:val="en-GB"/>
        </w:rPr>
        <w:t>the relevant provisions of domestic law or of Appendix III to be applied to qualify as an independent co-producer under Article 3, sub-paragraph e.</w:t>
      </w:r>
    </w:p>
    <w:p w14:paraId="623E5963" w14:textId="77777777" w:rsidR="005B5EDA" w:rsidRPr="006B464B" w:rsidRDefault="005B5EDA" w:rsidP="00C64262">
      <w:pPr>
        <w:pStyle w:val="NoSpacing"/>
        <w:rPr>
          <w:sz w:val="20"/>
          <w:lang w:val="en-GB"/>
        </w:rPr>
      </w:pPr>
    </w:p>
    <w:p w14:paraId="0CF80315" w14:textId="77777777" w:rsidR="005B5EDA" w:rsidRPr="006B464B" w:rsidRDefault="005B5EDA" w:rsidP="00C64262">
      <w:pPr>
        <w:pStyle w:val="NoSpacing"/>
        <w:rPr>
          <w:sz w:val="20"/>
          <w:szCs w:val="20"/>
          <w:lang w:val="en-GB"/>
        </w:rPr>
      </w:pPr>
      <w:r w:rsidRPr="006B464B">
        <w:rPr>
          <w:sz w:val="20"/>
          <w:lang w:val="en-GB"/>
        </w:rPr>
        <w:t>Documents to be provided include:</w:t>
      </w:r>
    </w:p>
    <w:p w14:paraId="219B077C" w14:textId="77777777" w:rsidR="005B5EDA" w:rsidRPr="006B464B" w:rsidRDefault="005B5EDA" w:rsidP="00C64262">
      <w:pPr>
        <w:pStyle w:val="NoSpacing"/>
        <w:ind w:left="851"/>
        <w:rPr>
          <w:sz w:val="20"/>
          <w:szCs w:val="20"/>
          <w:lang w:val="en-GB"/>
        </w:rPr>
      </w:pPr>
    </w:p>
    <w:p w14:paraId="537AE521" w14:textId="77777777" w:rsidR="005B5EDA" w:rsidRPr="006B464B" w:rsidRDefault="005B5EDA" w:rsidP="00C64262">
      <w:pPr>
        <w:pStyle w:val="NoSpacing"/>
        <w:numPr>
          <w:ilvl w:val="0"/>
          <w:numId w:val="28"/>
        </w:numPr>
        <w:ind w:left="993"/>
        <w:rPr>
          <w:sz w:val="20"/>
          <w:szCs w:val="20"/>
          <w:lang w:val="en-GB"/>
        </w:rPr>
      </w:pPr>
      <w:r w:rsidRPr="006B464B">
        <w:rPr>
          <w:sz w:val="20"/>
          <w:szCs w:val="20"/>
          <w:lang w:val="en-GB"/>
        </w:rPr>
        <w:t xml:space="preserve">a declaration summarising the ownership of the finished work, with the clear indication of shares for each </w:t>
      </w:r>
      <w:proofErr w:type="gramStart"/>
      <w:r w:rsidRPr="006B464B">
        <w:rPr>
          <w:sz w:val="20"/>
          <w:szCs w:val="20"/>
          <w:lang w:val="en-GB"/>
        </w:rPr>
        <w:t>owner;</w:t>
      </w:r>
      <w:proofErr w:type="gramEnd"/>
    </w:p>
    <w:p w14:paraId="2CB50EF6" w14:textId="77777777" w:rsidR="005B5EDA" w:rsidRPr="006B464B" w:rsidRDefault="005B5EDA" w:rsidP="00C64262">
      <w:pPr>
        <w:pStyle w:val="NoSpacing"/>
        <w:numPr>
          <w:ilvl w:val="0"/>
          <w:numId w:val="28"/>
        </w:numPr>
        <w:ind w:left="993"/>
        <w:rPr>
          <w:sz w:val="20"/>
          <w:szCs w:val="20"/>
          <w:lang w:val="en-GB"/>
        </w:rPr>
      </w:pPr>
      <w:r w:rsidRPr="006B464B">
        <w:rPr>
          <w:sz w:val="20"/>
          <w:szCs w:val="20"/>
          <w:lang w:val="en-GB"/>
        </w:rPr>
        <w:t>the chain of title;</w:t>
      </w:r>
    </w:p>
    <w:p w14:paraId="390BC364" w14:textId="77777777" w:rsidR="005B5EDA" w:rsidRPr="006B464B" w:rsidRDefault="005B5EDA" w:rsidP="00C64262">
      <w:pPr>
        <w:pStyle w:val="NoSpacing"/>
        <w:numPr>
          <w:ilvl w:val="0"/>
          <w:numId w:val="28"/>
        </w:numPr>
        <w:ind w:left="993"/>
        <w:rPr>
          <w:sz w:val="20"/>
          <w:szCs w:val="20"/>
          <w:lang w:val="en-GB"/>
        </w:rPr>
      </w:pPr>
      <w:r w:rsidRPr="006B464B">
        <w:rPr>
          <w:sz w:val="20"/>
          <w:szCs w:val="20"/>
          <w:lang w:val="en-GB"/>
        </w:rPr>
        <w:t xml:space="preserve">a bible of the series; </w:t>
      </w:r>
    </w:p>
    <w:p w14:paraId="1353ACDF" w14:textId="77777777" w:rsidR="005B5EDA" w:rsidRPr="006B464B" w:rsidRDefault="005B5EDA" w:rsidP="00C64262">
      <w:pPr>
        <w:pStyle w:val="NoSpacing"/>
        <w:numPr>
          <w:ilvl w:val="0"/>
          <w:numId w:val="28"/>
        </w:numPr>
        <w:ind w:left="993"/>
        <w:rPr>
          <w:sz w:val="20"/>
          <w:szCs w:val="20"/>
          <w:lang w:val="en-GB"/>
        </w:rPr>
      </w:pPr>
      <w:r w:rsidRPr="006B464B">
        <w:rPr>
          <w:sz w:val="20"/>
          <w:szCs w:val="20"/>
          <w:lang w:val="en-GB"/>
        </w:rPr>
        <w:t>a provisional list of the technical and artistic contributions from each of the countries involved;</w:t>
      </w:r>
    </w:p>
    <w:p w14:paraId="0C1B9CD0" w14:textId="77777777" w:rsidR="005B5EDA" w:rsidRPr="006B464B" w:rsidRDefault="005B5EDA" w:rsidP="00C64262">
      <w:pPr>
        <w:pStyle w:val="NoSpacing"/>
        <w:numPr>
          <w:ilvl w:val="0"/>
          <w:numId w:val="28"/>
        </w:numPr>
        <w:ind w:left="993"/>
        <w:rPr>
          <w:sz w:val="20"/>
          <w:szCs w:val="20"/>
          <w:lang w:val="en-GB"/>
        </w:rPr>
      </w:pPr>
      <w:r w:rsidRPr="006B464B">
        <w:rPr>
          <w:sz w:val="20"/>
          <w:szCs w:val="20"/>
          <w:lang w:val="en-GB"/>
        </w:rPr>
        <w:t>a budget and a provisional financing plan of the season;</w:t>
      </w:r>
    </w:p>
    <w:p w14:paraId="1A5B9B13" w14:textId="77777777" w:rsidR="005B5EDA" w:rsidRPr="006B464B" w:rsidRDefault="005B5EDA" w:rsidP="00C64262">
      <w:pPr>
        <w:pStyle w:val="NoSpacing"/>
        <w:numPr>
          <w:ilvl w:val="0"/>
          <w:numId w:val="28"/>
        </w:numPr>
        <w:ind w:left="993"/>
        <w:rPr>
          <w:sz w:val="20"/>
          <w:szCs w:val="20"/>
          <w:lang w:val="en-GB"/>
        </w:rPr>
      </w:pPr>
      <w:r w:rsidRPr="006B464B">
        <w:rPr>
          <w:sz w:val="20"/>
          <w:szCs w:val="20"/>
          <w:lang w:val="en-GB"/>
        </w:rPr>
        <w:t xml:space="preserve">a provisional production schedule; </w:t>
      </w:r>
    </w:p>
    <w:p w14:paraId="4758F4A1" w14:textId="77777777" w:rsidR="005B5EDA" w:rsidRDefault="005B5EDA" w:rsidP="00C64262">
      <w:pPr>
        <w:pStyle w:val="NoSpacing"/>
        <w:numPr>
          <w:ilvl w:val="0"/>
          <w:numId w:val="28"/>
        </w:numPr>
        <w:ind w:left="993"/>
        <w:rPr>
          <w:sz w:val="20"/>
          <w:szCs w:val="20"/>
          <w:lang w:val="en-GB"/>
        </w:rPr>
      </w:pPr>
      <w:r w:rsidRPr="006B464B">
        <w:rPr>
          <w:sz w:val="20"/>
          <w:szCs w:val="20"/>
          <w:lang w:val="en-GB"/>
        </w:rPr>
        <w:t xml:space="preserve">the co-production contracts or short-form agreements (“deal-memos”) made between the independent co-producers, and the contracts between the co-producers; these documents must include clauses providing for the distribution of receipts or territories between the co-producers, and between the co-producers and the media service providers. </w:t>
      </w:r>
    </w:p>
    <w:p w14:paraId="44D41193" w14:textId="77777777" w:rsidR="00BC796C" w:rsidRDefault="00BC796C" w:rsidP="00C64262">
      <w:pPr>
        <w:pStyle w:val="NoSpacing"/>
        <w:ind w:left="993"/>
        <w:rPr>
          <w:sz w:val="20"/>
          <w:szCs w:val="20"/>
          <w:lang w:val="en-GB"/>
        </w:rPr>
      </w:pPr>
    </w:p>
    <w:p w14:paraId="319FCE30" w14:textId="468FCBF6" w:rsidR="005B5EDA" w:rsidRPr="006B464B" w:rsidRDefault="005B5EDA" w:rsidP="00C64262">
      <w:pPr>
        <w:pStyle w:val="NoSpacing"/>
        <w:numPr>
          <w:ilvl w:val="0"/>
          <w:numId w:val="31"/>
        </w:numPr>
        <w:ind w:hanging="720"/>
        <w:rPr>
          <w:b/>
          <w:bCs/>
          <w:sz w:val="20"/>
          <w:szCs w:val="20"/>
          <w:lang w:val="en-GB"/>
        </w:rPr>
      </w:pPr>
      <w:r w:rsidRPr="006B464B">
        <w:rPr>
          <w:b/>
          <w:bCs/>
          <w:sz w:val="20"/>
          <w:szCs w:val="20"/>
          <w:lang w:val="en-GB"/>
        </w:rPr>
        <w:t xml:space="preserve">Final </w:t>
      </w:r>
      <w:r w:rsidRPr="0081614A">
        <w:rPr>
          <w:b/>
          <w:bCs/>
          <w:sz w:val="20"/>
          <w:szCs w:val="20"/>
          <w:lang w:val="en-GB"/>
        </w:rPr>
        <w:t>co-production recognition</w:t>
      </w:r>
      <w:r w:rsidR="00C64262">
        <w:rPr>
          <w:b/>
          <w:bCs/>
          <w:sz w:val="20"/>
          <w:szCs w:val="20"/>
          <w:lang w:val="en-GB"/>
        </w:rPr>
        <w:br/>
      </w:r>
    </w:p>
    <w:p w14:paraId="5AB5E0D3" w14:textId="159074EF" w:rsidR="005B5EDA" w:rsidRPr="006B464B" w:rsidRDefault="005B5EDA" w:rsidP="00C64262">
      <w:pPr>
        <w:pStyle w:val="NoSpacing"/>
        <w:rPr>
          <w:sz w:val="20"/>
          <w:szCs w:val="20"/>
          <w:lang w:val="en-GB"/>
        </w:rPr>
      </w:pPr>
      <w:r w:rsidRPr="006B464B">
        <w:rPr>
          <w:sz w:val="20"/>
          <w:szCs w:val="20"/>
          <w:lang w:val="en-GB"/>
        </w:rPr>
        <w:t xml:space="preserve">Final official co-production status is granted on completion of the season of the series and after examination of the following definitive production documents by the competent authorities: </w:t>
      </w:r>
      <w:r w:rsidR="00C64262">
        <w:rPr>
          <w:sz w:val="20"/>
          <w:szCs w:val="20"/>
          <w:lang w:val="en-GB"/>
        </w:rPr>
        <w:br/>
      </w:r>
    </w:p>
    <w:p w14:paraId="0E7EF33E" w14:textId="77777777" w:rsidR="005B5EDA" w:rsidRPr="006B464B" w:rsidRDefault="005B5EDA" w:rsidP="00C64262">
      <w:pPr>
        <w:pStyle w:val="NoSpacing"/>
        <w:numPr>
          <w:ilvl w:val="0"/>
          <w:numId w:val="28"/>
        </w:numPr>
        <w:ind w:left="993"/>
        <w:rPr>
          <w:sz w:val="20"/>
          <w:szCs w:val="20"/>
          <w:lang w:val="en-GB"/>
        </w:rPr>
      </w:pPr>
      <w:r w:rsidRPr="006B464B">
        <w:rPr>
          <w:sz w:val="20"/>
          <w:szCs w:val="20"/>
          <w:lang w:val="en-GB"/>
        </w:rPr>
        <w:t xml:space="preserve">a declaration summarising the ownership of the finished work, with </w:t>
      </w:r>
      <w:r>
        <w:rPr>
          <w:sz w:val="20"/>
          <w:szCs w:val="20"/>
          <w:lang w:val="en-GB"/>
        </w:rPr>
        <w:t xml:space="preserve">the </w:t>
      </w:r>
      <w:r w:rsidRPr="006B464B">
        <w:rPr>
          <w:sz w:val="20"/>
          <w:szCs w:val="20"/>
          <w:lang w:val="en-GB"/>
        </w:rPr>
        <w:t>clear indication of shares for each owner;</w:t>
      </w:r>
    </w:p>
    <w:p w14:paraId="37465D47" w14:textId="77777777" w:rsidR="005B5EDA" w:rsidRPr="006B464B" w:rsidRDefault="005B5EDA" w:rsidP="00C64262">
      <w:pPr>
        <w:pStyle w:val="NoSpacing"/>
        <w:numPr>
          <w:ilvl w:val="0"/>
          <w:numId w:val="28"/>
        </w:numPr>
        <w:ind w:left="993"/>
        <w:rPr>
          <w:sz w:val="20"/>
          <w:szCs w:val="20"/>
          <w:lang w:val="en-GB"/>
        </w:rPr>
      </w:pPr>
      <w:r w:rsidRPr="006B464B">
        <w:rPr>
          <w:sz w:val="20"/>
          <w:szCs w:val="20"/>
          <w:lang w:val="en-GB"/>
        </w:rPr>
        <w:t xml:space="preserve">the final script of all episodes of the season; </w:t>
      </w:r>
    </w:p>
    <w:p w14:paraId="217538C6" w14:textId="77777777" w:rsidR="005B5EDA" w:rsidRPr="006B464B" w:rsidRDefault="005B5EDA" w:rsidP="00C64262">
      <w:pPr>
        <w:pStyle w:val="NoSpacing"/>
        <w:numPr>
          <w:ilvl w:val="0"/>
          <w:numId w:val="28"/>
        </w:numPr>
        <w:ind w:left="993"/>
        <w:rPr>
          <w:sz w:val="20"/>
          <w:szCs w:val="20"/>
          <w:lang w:val="en-GB"/>
        </w:rPr>
      </w:pPr>
      <w:r w:rsidRPr="006B464B">
        <w:rPr>
          <w:sz w:val="20"/>
          <w:szCs w:val="20"/>
          <w:lang w:val="en-GB"/>
        </w:rPr>
        <w:t>the definitive list of the technical and artistic contributions from each of the countries involved;</w:t>
      </w:r>
    </w:p>
    <w:p w14:paraId="290FBE73" w14:textId="77777777" w:rsidR="005B5EDA" w:rsidRPr="006B464B" w:rsidRDefault="005B5EDA" w:rsidP="00C64262">
      <w:pPr>
        <w:pStyle w:val="NoSpacing"/>
        <w:numPr>
          <w:ilvl w:val="0"/>
          <w:numId w:val="28"/>
        </w:numPr>
        <w:ind w:left="993"/>
        <w:rPr>
          <w:sz w:val="20"/>
          <w:szCs w:val="20"/>
          <w:lang w:val="en-GB"/>
        </w:rPr>
      </w:pPr>
      <w:r w:rsidRPr="006B464B">
        <w:rPr>
          <w:sz w:val="20"/>
          <w:szCs w:val="20"/>
          <w:lang w:val="en-GB"/>
        </w:rPr>
        <w:t>the final cost report of the season;</w:t>
      </w:r>
    </w:p>
    <w:p w14:paraId="5C0A164C" w14:textId="77777777" w:rsidR="005B5EDA" w:rsidRPr="006B464B" w:rsidRDefault="005B5EDA" w:rsidP="00C64262">
      <w:pPr>
        <w:pStyle w:val="NoSpacing"/>
        <w:numPr>
          <w:ilvl w:val="0"/>
          <w:numId w:val="28"/>
        </w:numPr>
        <w:ind w:left="993"/>
        <w:rPr>
          <w:sz w:val="20"/>
          <w:szCs w:val="20"/>
          <w:lang w:val="en-GB"/>
        </w:rPr>
      </w:pPr>
      <w:r w:rsidRPr="006B464B">
        <w:rPr>
          <w:sz w:val="20"/>
          <w:szCs w:val="20"/>
          <w:lang w:val="en-GB"/>
        </w:rPr>
        <w:t>the definitive financing plan of the season;</w:t>
      </w:r>
    </w:p>
    <w:p w14:paraId="0A063742" w14:textId="77777777" w:rsidR="005B5EDA" w:rsidRPr="006B464B" w:rsidRDefault="005B5EDA" w:rsidP="00C64262">
      <w:pPr>
        <w:pStyle w:val="NoSpacing"/>
        <w:numPr>
          <w:ilvl w:val="0"/>
          <w:numId w:val="28"/>
        </w:numPr>
        <w:ind w:left="993"/>
        <w:rPr>
          <w:sz w:val="20"/>
          <w:szCs w:val="20"/>
          <w:lang w:val="en-GB"/>
        </w:rPr>
      </w:pPr>
      <w:r w:rsidRPr="006B464B">
        <w:rPr>
          <w:sz w:val="20"/>
          <w:szCs w:val="20"/>
          <w:lang w:val="en-GB"/>
        </w:rPr>
        <w:t xml:space="preserve">the co-production contracts between co-producers and the contracts between the co-producers and the media service providers; these documents must include clauses providing for the distribution of revenues or territories between the co-producers, and between the co-producers and the media service providers. </w:t>
      </w:r>
    </w:p>
    <w:p w14:paraId="2B8283B1" w14:textId="77777777" w:rsidR="005B5EDA" w:rsidRPr="006B464B" w:rsidRDefault="005B5EDA" w:rsidP="00C64262">
      <w:pPr>
        <w:pStyle w:val="NoSpacing"/>
        <w:rPr>
          <w:sz w:val="20"/>
          <w:szCs w:val="20"/>
          <w:lang w:val="en-GB"/>
        </w:rPr>
      </w:pPr>
    </w:p>
    <w:p w14:paraId="4902F74A" w14:textId="77777777" w:rsidR="005B5EDA" w:rsidRPr="006B464B" w:rsidRDefault="005B5EDA" w:rsidP="00C64262">
      <w:pPr>
        <w:pStyle w:val="NoSpacing"/>
        <w:rPr>
          <w:sz w:val="20"/>
          <w:szCs w:val="20"/>
          <w:lang w:val="en-GB"/>
        </w:rPr>
      </w:pPr>
      <w:r w:rsidRPr="006B464B">
        <w:rPr>
          <w:sz w:val="20"/>
          <w:szCs w:val="20"/>
          <w:lang w:val="en-GB"/>
        </w:rPr>
        <w:t xml:space="preserve">The competent authorities can request any other document necessary for the evaluation of the application in accordance with their national legislation. </w:t>
      </w:r>
    </w:p>
    <w:p w14:paraId="11D5B17F" w14:textId="77777777" w:rsidR="005B5EDA" w:rsidRPr="006B464B" w:rsidRDefault="005B5EDA" w:rsidP="00C64262">
      <w:pPr>
        <w:pStyle w:val="NoSpacing"/>
        <w:rPr>
          <w:sz w:val="20"/>
          <w:szCs w:val="20"/>
          <w:lang w:val="en-GB"/>
        </w:rPr>
      </w:pPr>
    </w:p>
    <w:p w14:paraId="4E06FFEC" w14:textId="77777777" w:rsidR="005B5EDA" w:rsidRPr="006B464B" w:rsidRDefault="005B5EDA" w:rsidP="00C64262">
      <w:pPr>
        <w:pStyle w:val="NoSpacing"/>
        <w:rPr>
          <w:sz w:val="20"/>
          <w:szCs w:val="20"/>
          <w:lang w:val="en-GB"/>
        </w:rPr>
      </w:pPr>
      <w:r w:rsidRPr="006B464B">
        <w:rPr>
          <w:sz w:val="20"/>
          <w:szCs w:val="20"/>
          <w:lang w:val="en-GB"/>
        </w:rPr>
        <w:t xml:space="preserve">The application and other documents shall be presented, if possible, in the language of the competent authorities to which they are submitted. </w:t>
      </w:r>
    </w:p>
    <w:p w14:paraId="7D94CFB5" w14:textId="77777777" w:rsidR="005B5EDA" w:rsidRPr="006B464B" w:rsidRDefault="005B5EDA" w:rsidP="00C64262">
      <w:pPr>
        <w:rPr>
          <w:szCs w:val="20"/>
        </w:rPr>
      </w:pPr>
      <w:r w:rsidRPr="006B464B">
        <w:rPr>
          <w:szCs w:val="20"/>
        </w:rPr>
        <w:br w:type="page"/>
      </w:r>
    </w:p>
    <w:p w14:paraId="50F13DD3" w14:textId="77777777" w:rsidR="005B5EDA" w:rsidRPr="006B464B" w:rsidRDefault="005B5EDA" w:rsidP="00F43459">
      <w:pPr>
        <w:pStyle w:val="NoSpacing"/>
        <w:rPr>
          <w:b/>
          <w:bCs/>
          <w:sz w:val="20"/>
          <w:szCs w:val="20"/>
          <w:lang w:val="en-GB"/>
        </w:rPr>
      </w:pPr>
    </w:p>
    <w:p w14:paraId="41CACAF1" w14:textId="77777777" w:rsidR="005B5EDA" w:rsidRPr="006B464B" w:rsidRDefault="005B5EDA" w:rsidP="00F43459">
      <w:pPr>
        <w:pStyle w:val="NoSpacing"/>
        <w:rPr>
          <w:b/>
          <w:bCs/>
          <w:sz w:val="20"/>
          <w:szCs w:val="20"/>
          <w:lang w:val="en-GB"/>
        </w:rPr>
      </w:pPr>
      <w:r w:rsidRPr="006B464B">
        <w:rPr>
          <w:b/>
          <w:bCs/>
          <w:sz w:val="20"/>
          <w:szCs w:val="20"/>
          <w:lang w:val="en-GB"/>
        </w:rPr>
        <w:t>Appendix III – Independence criteria</w:t>
      </w:r>
    </w:p>
    <w:p w14:paraId="1BD85319" w14:textId="77777777" w:rsidR="005B5EDA" w:rsidRPr="006B464B" w:rsidRDefault="005B5EDA" w:rsidP="00F43459">
      <w:pPr>
        <w:pStyle w:val="NoSpacing"/>
        <w:rPr>
          <w:sz w:val="20"/>
          <w:szCs w:val="20"/>
          <w:lang w:val="en-GB"/>
        </w:rPr>
      </w:pPr>
    </w:p>
    <w:p w14:paraId="54F8ADDD" w14:textId="77777777" w:rsidR="005B5EDA" w:rsidRPr="006B464B" w:rsidRDefault="005B5EDA" w:rsidP="00F43459">
      <w:pPr>
        <w:pStyle w:val="NoSpacing"/>
        <w:rPr>
          <w:sz w:val="20"/>
          <w:szCs w:val="20"/>
          <w:lang w:val="en-GB"/>
        </w:rPr>
      </w:pPr>
      <w:r w:rsidRPr="006B464B">
        <w:rPr>
          <w:sz w:val="20"/>
          <w:szCs w:val="20"/>
          <w:lang w:val="en-GB"/>
        </w:rPr>
        <w:t>In the absence of domestic law provisions and for the application of Article 3, sub-paragraph e, the competent authorities of the Parties concerned shall define an audiovisual production company as independent with reference to the following criteria:</w:t>
      </w:r>
    </w:p>
    <w:p w14:paraId="6332D192" w14:textId="77777777" w:rsidR="005B5EDA" w:rsidRPr="006B464B" w:rsidRDefault="005B5EDA" w:rsidP="00F43459">
      <w:pPr>
        <w:pStyle w:val="NoSpacing"/>
        <w:rPr>
          <w:sz w:val="20"/>
          <w:szCs w:val="20"/>
          <w:lang w:val="en-GB"/>
        </w:rPr>
      </w:pPr>
    </w:p>
    <w:p w14:paraId="2F9EC986" w14:textId="77777777" w:rsidR="005B5EDA" w:rsidRPr="006B464B" w:rsidRDefault="005B5EDA" w:rsidP="00BC796C">
      <w:pPr>
        <w:pStyle w:val="NoSpacing"/>
        <w:numPr>
          <w:ilvl w:val="0"/>
          <w:numId w:val="30"/>
        </w:numPr>
        <w:ind w:hanging="294"/>
        <w:rPr>
          <w:sz w:val="20"/>
          <w:szCs w:val="20"/>
          <w:lang w:val="en-GB"/>
        </w:rPr>
      </w:pPr>
      <w:r w:rsidRPr="006B464B">
        <w:rPr>
          <w:sz w:val="20"/>
          <w:szCs w:val="20"/>
          <w:lang w:val="en-GB"/>
        </w:rPr>
        <w:t xml:space="preserve">the company is not majority controlled, either directly or indirectly, by a media service </w:t>
      </w:r>
      <w:proofErr w:type="gramStart"/>
      <w:r w:rsidRPr="006B464B">
        <w:rPr>
          <w:sz w:val="20"/>
          <w:szCs w:val="20"/>
          <w:lang w:val="en-GB"/>
        </w:rPr>
        <w:t>provider;</w:t>
      </w:r>
      <w:proofErr w:type="gramEnd"/>
      <w:r w:rsidRPr="006B464B">
        <w:rPr>
          <w:sz w:val="20"/>
          <w:szCs w:val="20"/>
          <w:lang w:val="en-GB"/>
        </w:rPr>
        <w:t xml:space="preserve"> </w:t>
      </w:r>
    </w:p>
    <w:p w14:paraId="79A5DA57" w14:textId="77777777" w:rsidR="005B5EDA" w:rsidRPr="006B464B" w:rsidRDefault="005B5EDA" w:rsidP="00BC796C">
      <w:pPr>
        <w:pStyle w:val="NoSpacing"/>
        <w:ind w:hanging="294"/>
        <w:rPr>
          <w:sz w:val="20"/>
          <w:szCs w:val="20"/>
          <w:lang w:val="en-GB"/>
        </w:rPr>
      </w:pPr>
    </w:p>
    <w:p w14:paraId="6AB63271" w14:textId="77777777" w:rsidR="005B5EDA" w:rsidRPr="006B464B" w:rsidRDefault="005B5EDA" w:rsidP="00BC796C">
      <w:pPr>
        <w:pStyle w:val="NoSpacing"/>
        <w:numPr>
          <w:ilvl w:val="0"/>
          <w:numId w:val="30"/>
        </w:numPr>
        <w:ind w:hanging="294"/>
        <w:rPr>
          <w:sz w:val="20"/>
          <w:szCs w:val="20"/>
          <w:lang w:val="en-GB"/>
        </w:rPr>
      </w:pPr>
      <w:r w:rsidRPr="006B464B">
        <w:rPr>
          <w:sz w:val="20"/>
          <w:szCs w:val="20"/>
          <w:lang w:val="en-GB"/>
        </w:rPr>
        <w:t xml:space="preserve">the company does not solely or to a large extent depend on a single or group of media service providers for the financing of its works; it assumes the responsibility for the delivery of its works and can make decisions on the distribution using a variety of players. </w:t>
      </w:r>
    </w:p>
    <w:p w14:paraId="466D07D2" w14:textId="77777777" w:rsidR="00FB5864" w:rsidRPr="005B5EDA" w:rsidRDefault="00FB5864" w:rsidP="00F43459">
      <w:pPr>
        <w:widowControl w:val="0"/>
        <w:tabs>
          <w:tab w:val="left" w:pos="-720"/>
        </w:tabs>
        <w:suppressAutoHyphens/>
        <w:ind w:right="324"/>
        <w:contextualSpacing/>
        <w:rPr>
          <w:rFonts w:eastAsia="Times New Roman" w:cs="Arial"/>
          <w:bCs/>
          <w:snapToGrid w:val="0"/>
          <w:spacing w:val="-2"/>
          <w:szCs w:val="20"/>
        </w:rPr>
      </w:pPr>
    </w:p>
    <w:sectPr w:rsidR="00FB5864" w:rsidRPr="005B5EDA" w:rsidSect="00D462CE">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AB1C0" w14:textId="77777777" w:rsidR="00BC42E7" w:rsidRDefault="00BC42E7" w:rsidP="00FD6043">
      <w:r>
        <w:separator/>
      </w:r>
    </w:p>
  </w:endnote>
  <w:endnote w:type="continuationSeparator" w:id="0">
    <w:p w14:paraId="16384DAE" w14:textId="77777777" w:rsidR="00BC42E7" w:rsidRDefault="00BC42E7"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E00002AF" w:usb1="50006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C407"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0789"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4FAD" w14:textId="77777777" w:rsidR="00BC42E7" w:rsidRDefault="00BC42E7" w:rsidP="00FD6043">
      <w:r>
        <w:separator/>
      </w:r>
    </w:p>
  </w:footnote>
  <w:footnote w:type="continuationSeparator" w:id="0">
    <w:p w14:paraId="28D2EFC7" w14:textId="77777777" w:rsidR="00BC42E7" w:rsidRDefault="00BC42E7" w:rsidP="00FD6043">
      <w:r>
        <w:continuationSeparator/>
      </w:r>
    </w:p>
  </w:footnote>
  <w:footnote w:id="1">
    <w:p w14:paraId="47B24195" w14:textId="77777777" w:rsidR="003D6AC2" w:rsidRPr="00A12DEC" w:rsidRDefault="00853C90" w:rsidP="003D6AC2">
      <w:pPr>
        <w:pStyle w:val="FootnoteText"/>
      </w:pPr>
      <w:r>
        <w:rPr>
          <w:rStyle w:val="FootnoteReference"/>
        </w:rPr>
        <w:footnoteRef/>
      </w:r>
      <w:r w:rsidRPr="00A12DEC">
        <w:t xml:space="preserve"> </w:t>
      </w:r>
      <w:r w:rsidR="003D6AC2" w:rsidRPr="00D41C91">
        <w:rPr>
          <w:szCs w:val="16"/>
        </w:rPr>
        <w:t>This document has been classified restricted until examination by the Committee of Ministers.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8EC3" w14:textId="447CE694" w:rsidR="00E24C57" w:rsidRPr="00E54322" w:rsidRDefault="00D6606F" w:rsidP="00E54322">
    <w:pPr>
      <w:pStyle w:val="Header"/>
    </w:pPr>
    <w:r w:rsidRPr="00D6606F">
      <w:t>CM(2025)18-add1</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E0341E">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25F6" w14:textId="206DBFB1"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E0341E">
      <w:rPr>
        <w:noProof/>
      </w:rPr>
      <w:t>3</w:t>
    </w:r>
    <w:r w:rsidRPr="00E54322">
      <w:fldChar w:fldCharType="end"/>
    </w:r>
    <w:r w:rsidR="00E475F9" w:rsidRPr="00E54322">
      <w:tab/>
    </w:r>
    <w:r w:rsidR="00D6606F" w:rsidRPr="00D6606F">
      <w:t>CM(2025)18-add1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90EE" w14:textId="4473431E" w:rsidR="00135BDB" w:rsidRDefault="006568BF" w:rsidP="00123CDD">
    <w:pPr>
      <w:pStyle w:val="Header"/>
      <w:spacing w:after="2280"/>
    </w:pPr>
    <w:r w:rsidRPr="006568BF">
      <w:rPr>
        <w:noProof/>
      </w:rPr>
      <w:drawing>
        <wp:anchor distT="0" distB="0" distL="114300" distR="114300" simplePos="0" relativeHeight="251659264" behindDoc="0" locked="0" layoutInCell="1" allowOverlap="1" wp14:anchorId="653D16F7" wp14:editId="04A048CF">
          <wp:simplePos x="0" y="0"/>
          <wp:positionH relativeFrom="column">
            <wp:posOffset>3281680</wp:posOffset>
          </wp:positionH>
          <wp:positionV relativeFrom="page">
            <wp:posOffset>198755</wp:posOffset>
          </wp:positionV>
          <wp:extent cx="3077845" cy="1436370"/>
          <wp:effectExtent l="0" t="0" r="8255" b="0"/>
          <wp:wrapNone/>
          <wp:docPr id="482326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26909" name=""/>
                  <pic:cNvPicPr/>
                </pic:nvPicPr>
                <pic:blipFill>
                  <a:blip r:embed="rId1">
                    <a:extLst>
                      <a:ext uri="{28A0092B-C50C-407E-A947-70E740481C1C}">
                        <a14:useLocalDpi xmlns:a14="http://schemas.microsoft.com/office/drawing/2010/main" val="0"/>
                      </a:ext>
                    </a:extLst>
                  </a:blip>
                  <a:stretch>
                    <a:fillRect/>
                  </a:stretch>
                </pic:blipFill>
                <pic:spPr>
                  <a:xfrm>
                    <a:off x="0" y="0"/>
                    <a:ext cx="3077845" cy="1436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C97"/>
    <w:multiLevelType w:val="multilevel"/>
    <w:tmpl w:val="F51825FE"/>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720" w:hanging="360"/>
      </w:p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2C41C4"/>
    <w:multiLevelType w:val="multilevel"/>
    <w:tmpl w:val="8938C4F0"/>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360" w:hanging="360"/>
      </w:p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5D2C5B"/>
    <w:multiLevelType w:val="multilevel"/>
    <w:tmpl w:val="649878B2"/>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center"/>
      <w:pPr>
        <w:ind w:left="1068" w:hanging="360"/>
      </w:pPr>
      <w:rPr>
        <w:rFonts w:ascii="Arial" w:eastAsia="Arial" w:hAnsi="Arial" w:cs="Arial"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0C26F2"/>
    <w:multiLevelType w:val="multilevel"/>
    <w:tmpl w:val="4D4E017E"/>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360" w:hanging="360"/>
      </w:pPr>
      <w:rPr>
        <w:strike w:val="0"/>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065C3F"/>
    <w:multiLevelType w:val="hybridMultilevel"/>
    <w:tmpl w:val="4D82E00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F34BD6"/>
    <w:multiLevelType w:val="multilevel"/>
    <w:tmpl w:val="00CABF30"/>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rPr>
    </w:lvl>
    <w:lvl w:ilvl="3">
      <w:start w:val="1"/>
      <w:numFmt w:val="lowerLetter"/>
      <w:lvlText w:val="%4."/>
      <w:lvlJc w:val="left"/>
      <w:pPr>
        <w:ind w:left="72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5C68F6"/>
    <w:multiLevelType w:val="multilevel"/>
    <w:tmpl w:val="51744B52"/>
    <w:lvl w:ilvl="0">
      <w:start w:val="2"/>
      <w:numFmt w:val="upperRoman"/>
      <w:lvlText w:val="Chapter %1"/>
      <w:lvlJc w:val="left"/>
      <w:pPr>
        <w:ind w:left="426" w:hanging="284"/>
      </w:pPr>
      <w:rPr>
        <w:rFonts w:hint="default"/>
      </w:rPr>
    </w:lvl>
    <w:lvl w:ilvl="1">
      <w:start w:val="4"/>
      <w:numFmt w:val="decimal"/>
      <w:lvlText w:val="Article %2"/>
      <w:lvlJc w:val="left"/>
      <w:pPr>
        <w:ind w:left="993" w:hanging="851"/>
      </w:pPr>
      <w:rPr>
        <w:rFonts w:hint="default"/>
        <w:b/>
        <w:bCs/>
      </w:rPr>
    </w:lvl>
    <w:lvl w:ilvl="2">
      <w:start w:val="1"/>
      <w:numFmt w:val="decimal"/>
      <w:lvlText w:val="%3"/>
      <w:lvlJc w:val="left"/>
      <w:pPr>
        <w:ind w:left="993" w:hanging="851"/>
      </w:pPr>
      <w:rPr>
        <w:rFonts w:hint="default"/>
      </w:rPr>
    </w:lvl>
    <w:lvl w:ilvl="3">
      <w:start w:val="1"/>
      <w:numFmt w:val="lowerLetter"/>
      <w:lvlText w:val="%4"/>
      <w:lvlJc w:val="left"/>
      <w:pPr>
        <w:ind w:left="1560" w:hanging="567"/>
      </w:pPr>
      <w:rPr>
        <w:rFonts w:hint="default"/>
        <w:strike w:val="0"/>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502" w:hanging="360"/>
      </w:pPr>
    </w:lvl>
    <w:lvl w:ilvl="7">
      <w:start w:val="1"/>
      <w:numFmt w:val="lowerLetter"/>
      <w:lvlText w:val="%8."/>
      <w:lvlJc w:val="left"/>
      <w:pPr>
        <w:ind w:left="1778" w:hanging="360"/>
      </w:pPr>
      <w:rPr>
        <w:rFonts w:hint="default"/>
      </w:rPr>
    </w:lvl>
    <w:lvl w:ilvl="8">
      <w:start w:val="1"/>
      <w:numFmt w:val="lowerRoman"/>
      <w:lvlText w:val="%9."/>
      <w:lvlJc w:val="left"/>
      <w:pPr>
        <w:ind w:left="3382" w:hanging="360"/>
      </w:pPr>
      <w:rPr>
        <w:rFonts w:hint="default"/>
      </w:rPr>
    </w:lvl>
  </w:abstractNum>
  <w:abstractNum w:abstractNumId="7" w15:restartNumberingAfterBreak="0">
    <w:nsid w:val="1C687210"/>
    <w:multiLevelType w:val="multilevel"/>
    <w:tmpl w:val="3E9EC1C6"/>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2"/>
      <w:numFmt w:val="decimal"/>
      <w:lvlText w:val="%3."/>
      <w:lvlJc w:val="left"/>
      <w:pPr>
        <w:ind w:left="360" w:hanging="360"/>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EF22E2"/>
    <w:multiLevelType w:val="multilevel"/>
    <w:tmpl w:val="FC226B9C"/>
    <w:styleLink w:val="CurrentList1"/>
    <w:lvl w:ilvl="0">
      <w:start w:val="1"/>
      <w:numFmt w:val="decimal"/>
      <w:lvlText w:val="%1."/>
      <w:lvlJc w:val="left"/>
      <w:pPr>
        <w:ind w:left="720" w:hanging="360"/>
      </w:pPr>
      <w:rPr>
        <w:rFonts w:hint="default"/>
        <w:b w:val="0"/>
        <w:bCs/>
      </w:rPr>
    </w:lvl>
    <w:lvl w:ilvl="1">
      <w:start w:val="1"/>
      <w:numFmt w:val="decimal"/>
      <w:isLgl/>
      <w:lvlText w:val="%1.%2"/>
      <w:lvlJc w:val="left"/>
      <w:pPr>
        <w:ind w:left="1420" w:hanging="7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1F2C060B"/>
    <w:multiLevelType w:val="multilevel"/>
    <w:tmpl w:val="B142DCF8"/>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720" w:hanging="360"/>
      </w:p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2A1B02"/>
    <w:multiLevelType w:val="hybridMultilevel"/>
    <w:tmpl w:val="A1CCAFF4"/>
    <w:lvl w:ilvl="0" w:tplc="040C0019">
      <w:start w:val="1"/>
      <w:numFmt w:val="lowerLetter"/>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CC2286"/>
    <w:multiLevelType w:val="hybridMultilevel"/>
    <w:tmpl w:val="B0622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850287"/>
    <w:multiLevelType w:val="multilevel"/>
    <w:tmpl w:val="83C6E6CA"/>
    <w:lvl w:ilvl="0">
      <w:start w:val="1"/>
      <w:numFmt w:val="upperRoman"/>
      <w:lvlText w:val="Chapter %1"/>
      <w:lvlJc w:val="left"/>
      <w:pPr>
        <w:ind w:left="284" w:hanging="284"/>
      </w:pPr>
      <w:rPr>
        <w:rFonts w:hint="default"/>
      </w:rPr>
    </w:lvl>
    <w:lvl w:ilvl="1">
      <w:start w:val="1"/>
      <w:numFmt w:val="decimal"/>
      <w:lvlText w:val="%2."/>
      <w:lvlJc w:val="left"/>
      <w:pPr>
        <w:ind w:left="360" w:hanging="360"/>
      </w:pPr>
    </w:lvl>
    <w:lvl w:ilvl="2">
      <w:start w:val="1"/>
      <w:numFmt w:val="decimal"/>
      <w:lvlText w:val="%3."/>
      <w:lvlJc w:val="left"/>
      <w:pPr>
        <w:ind w:left="360" w:hanging="360"/>
      </w:pPr>
    </w:lvl>
    <w:lvl w:ilvl="3">
      <w:start w:val="1"/>
      <w:numFmt w:val="lowerLetter"/>
      <w:lvlText w:val="%4."/>
      <w:lvlJc w:val="left"/>
      <w:pPr>
        <w:ind w:left="1211"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9A5B71"/>
    <w:multiLevelType w:val="multilevel"/>
    <w:tmpl w:val="7A5CA7BC"/>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6"/>
      <w:numFmt w:val="decimal"/>
      <w:lvlText w:val="%3."/>
      <w:lvlJc w:val="left"/>
      <w:pPr>
        <w:ind w:left="720" w:hanging="360"/>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2B18A3"/>
    <w:multiLevelType w:val="multilevel"/>
    <w:tmpl w:val="CA6652FC"/>
    <w:styleLink w:val="CurrentList6"/>
    <w:lvl w:ilvl="0">
      <w:start w:val="1"/>
      <w:numFmt w:val="decimal"/>
      <w:lvlText w:val="%1."/>
      <w:lvlJc w:val="left"/>
      <w:pPr>
        <w:ind w:left="720" w:hanging="360"/>
      </w:pPr>
      <w:rPr>
        <w:rFonts w:hint="default"/>
        <w:b w:val="0"/>
        <w:bCs/>
      </w:rPr>
    </w:lvl>
    <w:lvl w:ilvl="1">
      <w:start w:val="1"/>
      <w:numFmt w:val="decimal"/>
      <w:isLgl/>
      <w:lvlText w:val="9.%2"/>
      <w:lvlJc w:val="left"/>
      <w:pPr>
        <w:ind w:left="1420" w:hanging="7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4AD7FC9"/>
    <w:multiLevelType w:val="multilevel"/>
    <w:tmpl w:val="F956E4AE"/>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720" w:hanging="360"/>
      </w:pPr>
    </w:lvl>
    <w:lvl w:ilvl="3">
      <w:start w:val="1"/>
      <w:numFmt w:val="lowerLetter"/>
      <w:lvlText w:val="%4."/>
      <w:lvlJc w:val="left"/>
      <w:pPr>
        <w:ind w:left="1211"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A65ED3"/>
    <w:multiLevelType w:val="hybridMultilevel"/>
    <w:tmpl w:val="C36242E8"/>
    <w:lvl w:ilvl="0" w:tplc="040C0019">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39EE3183"/>
    <w:multiLevelType w:val="multilevel"/>
    <w:tmpl w:val="C12416E2"/>
    <w:styleLink w:val="CurrentList2"/>
    <w:lvl w:ilvl="0">
      <w:start w:val="1"/>
      <w:numFmt w:val="none"/>
      <w:lvlText w:val="7."/>
      <w:lvlJc w:val="left"/>
      <w:pPr>
        <w:ind w:left="720" w:hanging="360"/>
      </w:pPr>
      <w:rPr>
        <w:rFonts w:hint="default"/>
        <w:b w:val="0"/>
        <w:bCs/>
      </w:rPr>
    </w:lvl>
    <w:lvl w:ilvl="1">
      <w:start w:val="1"/>
      <w:numFmt w:val="decimal"/>
      <w:isLgl/>
      <w:lvlText w:val="%1.%2"/>
      <w:lvlJc w:val="left"/>
      <w:pPr>
        <w:ind w:left="1420" w:hanging="7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D6C164E"/>
    <w:multiLevelType w:val="multilevel"/>
    <w:tmpl w:val="3084B1CE"/>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2"/>
      <w:numFmt w:val="decimal"/>
      <w:lvlText w:val="%3"/>
      <w:lvlJc w:val="left"/>
      <w:pPr>
        <w:ind w:left="851" w:hanging="851"/>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AC3E94"/>
    <w:multiLevelType w:val="multilevel"/>
    <w:tmpl w:val="CA6652FC"/>
    <w:styleLink w:val="CurrentList7"/>
    <w:lvl w:ilvl="0">
      <w:start w:val="1"/>
      <w:numFmt w:val="decimal"/>
      <w:lvlText w:val="%1."/>
      <w:lvlJc w:val="left"/>
      <w:pPr>
        <w:ind w:left="720" w:hanging="360"/>
      </w:pPr>
      <w:rPr>
        <w:rFonts w:hint="default"/>
        <w:b w:val="0"/>
        <w:bCs/>
      </w:rPr>
    </w:lvl>
    <w:lvl w:ilvl="1">
      <w:start w:val="1"/>
      <w:numFmt w:val="decimal"/>
      <w:isLgl/>
      <w:lvlText w:val="9.%2"/>
      <w:lvlJc w:val="left"/>
      <w:pPr>
        <w:ind w:left="1420" w:hanging="7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5632594"/>
    <w:multiLevelType w:val="hybridMultilevel"/>
    <w:tmpl w:val="4C887E44"/>
    <w:lvl w:ilvl="0" w:tplc="D9F418EA">
      <w:start w:val="55"/>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E052A0"/>
    <w:multiLevelType w:val="multilevel"/>
    <w:tmpl w:val="E07EDFF6"/>
    <w:lvl w:ilvl="0">
      <w:start w:val="30"/>
      <w:numFmt w:val="bullet"/>
      <w:lvlText w:val="-"/>
      <w:lvlJc w:val="left"/>
      <w:pPr>
        <w:ind w:left="284" w:hanging="284"/>
      </w:pPr>
      <w:rPr>
        <w:rFonts w:ascii="Calibri" w:eastAsia="Times New Roman" w:hAnsi="Calibri" w:cs="Calibri"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B77110"/>
    <w:multiLevelType w:val="hybridMultilevel"/>
    <w:tmpl w:val="9E243F56"/>
    <w:lvl w:ilvl="0" w:tplc="040C000F">
      <w:start w:val="1"/>
      <w:numFmt w:val="decimal"/>
      <w:lvlText w:val="%1."/>
      <w:lvlJc w:val="left"/>
      <w:pPr>
        <w:ind w:left="360" w:hanging="360"/>
      </w:pPr>
      <w:rPr>
        <w:rFonts w:hint="default"/>
      </w:rPr>
    </w:lvl>
    <w:lvl w:ilvl="1" w:tplc="040C0019">
      <w:start w:val="1"/>
      <w:numFmt w:val="lowerLetter"/>
      <w:lvlText w:val="%2."/>
      <w:lvlJc w:val="left"/>
      <w:pPr>
        <w:ind w:left="12" w:hanging="360"/>
      </w:pPr>
    </w:lvl>
    <w:lvl w:ilvl="2" w:tplc="040C001B" w:tentative="1">
      <w:start w:val="1"/>
      <w:numFmt w:val="lowerRoman"/>
      <w:lvlText w:val="%3."/>
      <w:lvlJc w:val="right"/>
      <w:pPr>
        <w:ind w:left="732" w:hanging="180"/>
      </w:pPr>
    </w:lvl>
    <w:lvl w:ilvl="3" w:tplc="040C000F" w:tentative="1">
      <w:start w:val="1"/>
      <w:numFmt w:val="decimal"/>
      <w:lvlText w:val="%4."/>
      <w:lvlJc w:val="left"/>
      <w:pPr>
        <w:ind w:left="1452" w:hanging="360"/>
      </w:pPr>
    </w:lvl>
    <w:lvl w:ilvl="4" w:tplc="040C0019" w:tentative="1">
      <w:start w:val="1"/>
      <w:numFmt w:val="lowerLetter"/>
      <w:lvlText w:val="%5."/>
      <w:lvlJc w:val="left"/>
      <w:pPr>
        <w:ind w:left="2172" w:hanging="360"/>
      </w:pPr>
    </w:lvl>
    <w:lvl w:ilvl="5" w:tplc="040C001B" w:tentative="1">
      <w:start w:val="1"/>
      <w:numFmt w:val="lowerRoman"/>
      <w:lvlText w:val="%6."/>
      <w:lvlJc w:val="right"/>
      <w:pPr>
        <w:ind w:left="2892" w:hanging="180"/>
      </w:pPr>
    </w:lvl>
    <w:lvl w:ilvl="6" w:tplc="040C000F" w:tentative="1">
      <w:start w:val="1"/>
      <w:numFmt w:val="decimal"/>
      <w:lvlText w:val="%7."/>
      <w:lvlJc w:val="left"/>
      <w:pPr>
        <w:ind w:left="3612" w:hanging="360"/>
      </w:pPr>
    </w:lvl>
    <w:lvl w:ilvl="7" w:tplc="040C0019" w:tentative="1">
      <w:start w:val="1"/>
      <w:numFmt w:val="lowerLetter"/>
      <w:lvlText w:val="%8."/>
      <w:lvlJc w:val="left"/>
      <w:pPr>
        <w:ind w:left="4332" w:hanging="360"/>
      </w:pPr>
    </w:lvl>
    <w:lvl w:ilvl="8" w:tplc="040C001B" w:tentative="1">
      <w:start w:val="1"/>
      <w:numFmt w:val="lowerRoman"/>
      <w:lvlText w:val="%9."/>
      <w:lvlJc w:val="right"/>
      <w:pPr>
        <w:ind w:left="5052" w:hanging="180"/>
      </w:pPr>
    </w:lvl>
  </w:abstractNum>
  <w:abstractNum w:abstractNumId="23" w15:restartNumberingAfterBreak="0">
    <w:nsid w:val="52833119"/>
    <w:multiLevelType w:val="multilevel"/>
    <w:tmpl w:val="31E0CD04"/>
    <w:lvl w:ilvl="0">
      <w:start w:val="1"/>
      <w:numFmt w:val="upperRoman"/>
      <w:lvlText w:val="Chapter %1"/>
      <w:lvlJc w:val="left"/>
      <w:pPr>
        <w:ind w:left="284" w:hanging="284"/>
      </w:pPr>
      <w:rPr>
        <w:rFonts w:hint="default"/>
      </w:rPr>
    </w:lvl>
    <w:lvl w:ilvl="1">
      <w:start w:val="1"/>
      <w:numFmt w:val="decimal"/>
      <w:lvlText w:val="Article %2"/>
      <w:lvlJc w:val="left"/>
      <w:pPr>
        <w:ind w:left="851" w:hanging="851"/>
      </w:pPr>
      <w:rPr>
        <w:rFonts w:hint="default"/>
      </w:rPr>
    </w:lvl>
    <w:lvl w:ilvl="2">
      <w:start w:val="1"/>
      <w:numFmt w:val="decimal"/>
      <w:lvlText w:val="%3."/>
      <w:lvlJc w:val="left"/>
      <w:pPr>
        <w:ind w:left="720" w:hanging="360"/>
      </w:pPr>
    </w:lvl>
    <w:lvl w:ilvl="3">
      <w:start w:val="1"/>
      <w:numFmt w:val="lowerLetter"/>
      <w:lvlText w:val="%4"/>
      <w:lvlJc w:val="left"/>
      <w:pPr>
        <w:ind w:left="141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4103F41"/>
    <w:multiLevelType w:val="multilevel"/>
    <w:tmpl w:val="2F7023D8"/>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360" w:hanging="360"/>
      </w:p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8A7760"/>
    <w:multiLevelType w:val="multilevel"/>
    <w:tmpl w:val="149E4664"/>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720" w:hanging="360"/>
      </w:p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6827D8D"/>
    <w:multiLevelType w:val="multilevel"/>
    <w:tmpl w:val="33B4F14C"/>
    <w:styleLink w:val="CurrentList5"/>
    <w:lvl w:ilvl="0">
      <w:start w:val="1"/>
      <w:numFmt w:val="decimal"/>
      <w:lvlText w:val="%11.2"/>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844533"/>
    <w:multiLevelType w:val="multilevel"/>
    <w:tmpl w:val="6E424360"/>
    <w:styleLink w:val="CurrentLi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8E437E"/>
    <w:multiLevelType w:val="multilevel"/>
    <w:tmpl w:val="EDAC9730"/>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851" w:hanging="851"/>
      </w:pPr>
      <w:rPr>
        <w:rFonts w:hint="default"/>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B9068CC"/>
    <w:multiLevelType w:val="multilevel"/>
    <w:tmpl w:val="06623E0E"/>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360" w:hanging="360"/>
      </w:pPr>
      <w:rPr>
        <w:sz w:val="20"/>
        <w:szCs w:val="20"/>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337A98"/>
    <w:multiLevelType w:val="multilevel"/>
    <w:tmpl w:val="9BF213BA"/>
    <w:styleLink w:val="CurrentList8"/>
    <w:lvl w:ilvl="0">
      <w:start w:val="5"/>
      <w:numFmt w:val="bullet"/>
      <w:lvlText w:val="-"/>
      <w:lvlJc w:val="left"/>
      <w:pPr>
        <w:ind w:left="2138" w:hanging="360"/>
      </w:pPr>
      <w:rPr>
        <w:rFonts w:ascii="Times New Roman" w:eastAsia="Times New Roman" w:hAnsi="Times New Roman" w:cs="Times New Roman"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6C2479EF"/>
    <w:multiLevelType w:val="multilevel"/>
    <w:tmpl w:val="FC226B9C"/>
    <w:styleLink w:val="CurrentList3"/>
    <w:lvl w:ilvl="0">
      <w:start w:val="1"/>
      <w:numFmt w:val="decimal"/>
      <w:lvlText w:val="%1."/>
      <w:lvlJc w:val="left"/>
      <w:pPr>
        <w:ind w:left="720" w:hanging="360"/>
      </w:pPr>
      <w:rPr>
        <w:rFonts w:hint="default"/>
        <w:b w:val="0"/>
        <w:bCs/>
      </w:rPr>
    </w:lvl>
    <w:lvl w:ilvl="1">
      <w:start w:val="1"/>
      <w:numFmt w:val="decimal"/>
      <w:isLgl/>
      <w:lvlText w:val="%1.%2"/>
      <w:lvlJc w:val="left"/>
      <w:pPr>
        <w:ind w:left="1420" w:hanging="7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11C0ACF"/>
    <w:multiLevelType w:val="multilevel"/>
    <w:tmpl w:val="69AA3B10"/>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360" w:hanging="360"/>
      </w:p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44D084F"/>
    <w:multiLevelType w:val="multilevel"/>
    <w:tmpl w:val="9E140B58"/>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502" w:hanging="360"/>
      </w:pPr>
      <w:rPr>
        <w:strike w:val="0"/>
      </w:r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E45ACC"/>
    <w:multiLevelType w:val="hybridMultilevel"/>
    <w:tmpl w:val="35928A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9575DAD"/>
    <w:multiLevelType w:val="multilevel"/>
    <w:tmpl w:val="64BC00FA"/>
    <w:lvl w:ilvl="0">
      <w:start w:val="2"/>
      <w:numFmt w:val="upperRoman"/>
      <w:lvlText w:val="Chapter %1"/>
      <w:lvlJc w:val="left"/>
      <w:pPr>
        <w:ind w:left="284" w:hanging="284"/>
      </w:pPr>
      <w:rPr>
        <w:rFonts w:hint="default"/>
      </w:rPr>
    </w:lvl>
    <w:lvl w:ilvl="1">
      <w:start w:val="4"/>
      <w:numFmt w:val="decimal"/>
      <w:lvlText w:val="Article %2"/>
      <w:lvlJc w:val="left"/>
      <w:pPr>
        <w:ind w:left="851" w:hanging="851"/>
      </w:pPr>
      <w:rPr>
        <w:rFonts w:hint="default"/>
        <w:b/>
        <w:bCs/>
      </w:rPr>
    </w:lvl>
    <w:lvl w:ilvl="2">
      <w:start w:val="1"/>
      <w:numFmt w:val="decimal"/>
      <w:lvlText w:val="%3."/>
      <w:lvlJc w:val="left"/>
      <w:pPr>
        <w:ind w:left="360" w:hanging="360"/>
      </w:pPr>
    </w:lvl>
    <w:lvl w:ilvl="3">
      <w:start w:val="1"/>
      <w:numFmt w:val="lowerLetter"/>
      <w:lvlText w:val="%4"/>
      <w:lvlJc w:val="left"/>
      <w:pPr>
        <w:ind w:left="1418" w:hanging="567"/>
      </w:pPr>
      <w:rPr>
        <w:rFonts w:hint="default"/>
        <w:strike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68"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num w:numId="1" w16cid:durableId="1933196280">
    <w:abstractNumId w:val="8"/>
  </w:num>
  <w:num w:numId="2" w16cid:durableId="888421326">
    <w:abstractNumId w:val="17"/>
  </w:num>
  <w:num w:numId="3" w16cid:durableId="609553842">
    <w:abstractNumId w:val="31"/>
  </w:num>
  <w:num w:numId="4" w16cid:durableId="50353266">
    <w:abstractNumId w:val="27"/>
  </w:num>
  <w:num w:numId="5" w16cid:durableId="1742287176">
    <w:abstractNumId w:val="26"/>
  </w:num>
  <w:num w:numId="6" w16cid:durableId="1756365247">
    <w:abstractNumId w:val="14"/>
  </w:num>
  <w:num w:numId="7" w16cid:durableId="82654319">
    <w:abstractNumId w:val="19"/>
  </w:num>
  <w:num w:numId="8" w16cid:durableId="2002387552">
    <w:abstractNumId w:val="30"/>
  </w:num>
  <w:num w:numId="9" w16cid:durableId="657273749">
    <w:abstractNumId w:val="12"/>
  </w:num>
  <w:num w:numId="10" w16cid:durableId="727609120">
    <w:abstractNumId w:val="35"/>
  </w:num>
  <w:num w:numId="11" w16cid:durableId="1744136470">
    <w:abstractNumId w:val="24"/>
  </w:num>
  <w:num w:numId="12" w16cid:durableId="255672665">
    <w:abstractNumId w:val="5"/>
  </w:num>
  <w:num w:numId="13" w16cid:durableId="186457144">
    <w:abstractNumId w:val="9"/>
  </w:num>
  <w:num w:numId="14" w16cid:durableId="1564557466">
    <w:abstractNumId w:val="25"/>
  </w:num>
  <w:num w:numId="15" w16cid:durableId="557252643">
    <w:abstractNumId w:val="15"/>
  </w:num>
  <w:num w:numId="16" w16cid:durableId="1349604165">
    <w:abstractNumId w:val="18"/>
  </w:num>
  <w:num w:numId="17" w16cid:durableId="781800845">
    <w:abstractNumId w:val="22"/>
  </w:num>
  <w:num w:numId="18" w16cid:durableId="1989826155">
    <w:abstractNumId w:val="6"/>
  </w:num>
  <w:num w:numId="19" w16cid:durableId="1441949166">
    <w:abstractNumId w:val="2"/>
  </w:num>
  <w:num w:numId="20" w16cid:durableId="2081782898">
    <w:abstractNumId w:val="28"/>
  </w:num>
  <w:num w:numId="21" w16cid:durableId="437454655">
    <w:abstractNumId w:val="10"/>
  </w:num>
  <w:num w:numId="22" w16cid:durableId="1271859054">
    <w:abstractNumId w:val="16"/>
  </w:num>
  <w:num w:numId="23" w16cid:durableId="1497500073">
    <w:abstractNumId w:val="32"/>
  </w:num>
  <w:num w:numId="24" w16cid:durableId="873425768">
    <w:abstractNumId w:val="29"/>
  </w:num>
  <w:num w:numId="25" w16cid:durableId="1354451864">
    <w:abstractNumId w:val="1"/>
  </w:num>
  <w:num w:numId="26" w16cid:durableId="1382249259">
    <w:abstractNumId w:val="3"/>
  </w:num>
  <w:num w:numId="27" w16cid:durableId="1555921768">
    <w:abstractNumId w:val="33"/>
  </w:num>
  <w:num w:numId="28" w16cid:durableId="271284073">
    <w:abstractNumId w:val="21"/>
  </w:num>
  <w:num w:numId="29" w16cid:durableId="430055750">
    <w:abstractNumId w:val="23"/>
  </w:num>
  <w:num w:numId="30" w16cid:durableId="222958343">
    <w:abstractNumId w:val="20"/>
  </w:num>
  <w:num w:numId="31" w16cid:durableId="1347293843">
    <w:abstractNumId w:val="11"/>
  </w:num>
  <w:num w:numId="32" w16cid:durableId="1217820903">
    <w:abstractNumId w:val="34"/>
  </w:num>
  <w:num w:numId="33" w16cid:durableId="814031193">
    <w:abstractNumId w:val="4"/>
  </w:num>
  <w:num w:numId="34" w16cid:durableId="1518613290">
    <w:abstractNumId w:val="13"/>
  </w:num>
  <w:num w:numId="35" w16cid:durableId="1930456758">
    <w:abstractNumId w:val="0"/>
  </w:num>
  <w:num w:numId="36" w16cid:durableId="450058393">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90"/>
    <w:rsid w:val="000027C1"/>
    <w:rsid w:val="0001238D"/>
    <w:rsid w:val="00024FD2"/>
    <w:rsid w:val="00035FDF"/>
    <w:rsid w:val="00036632"/>
    <w:rsid w:val="000369F8"/>
    <w:rsid w:val="000562EC"/>
    <w:rsid w:val="000712CC"/>
    <w:rsid w:val="00071EA7"/>
    <w:rsid w:val="00072CBD"/>
    <w:rsid w:val="00082CEE"/>
    <w:rsid w:val="00083CA2"/>
    <w:rsid w:val="0009012E"/>
    <w:rsid w:val="00097351"/>
    <w:rsid w:val="000A307B"/>
    <w:rsid w:val="000A5887"/>
    <w:rsid w:val="000B0DD8"/>
    <w:rsid w:val="000C52A6"/>
    <w:rsid w:val="000C76F6"/>
    <w:rsid w:val="000D41FE"/>
    <w:rsid w:val="000D5394"/>
    <w:rsid w:val="000E24AC"/>
    <w:rsid w:val="000E50A4"/>
    <w:rsid w:val="000E79B1"/>
    <w:rsid w:val="000F4CF2"/>
    <w:rsid w:val="000F58C3"/>
    <w:rsid w:val="000F5ADA"/>
    <w:rsid w:val="000F5BE1"/>
    <w:rsid w:val="00106141"/>
    <w:rsid w:val="00110729"/>
    <w:rsid w:val="00113EB0"/>
    <w:rsid w:val="00114A28"/>
    <w:rsid w:val="00123CDD"/>
    <w:rsid w:val="001270E4"/>
    <w:rsid w:val="00134D9A"/>
    <w:rsid w:val="00135BDB"/>
    <w:rsid w:val="001370D6"/>
    <w:rsid w:val="00140FC8"/>
    <w:rsid w:val="0014266D"/>
    <w:rsid w:val="00147EF4"/>
    <w:rsid w:val="00152A73"/>
    <w:rsid w:val="00153BB3"/>
    <w:rsid w:val="00153C88"/>
    <w:rsid w:val="001555B0"/>
    <w:rsid w:val="001569F2"/>
    <w:rsid w:val="00156DC1"/>
    <w:rsid w:val="00160B03"/>
    <w:rsid w:val="00171115"/>
    <w:rsid w:val="00180104"/>
    <w:rsid w:val="00181ED9"/>
    <w:rsid w:val="00185ABD"/>
    <w:rsid w:val="00197BFF"/>
    <w:rsid w:val="00197E30"/>
    <w:rsid w:val="001A090E"/>
    <w:rsid w:val="001A4B97"/>
    <w:rsid w:val="001A6076"/>
    <w:rsid w:val="001B7E0B"/>
    <w:rsid w:val="001C2FDB"/>
    <w:rsid w:val="001E7C29"/>
    <w:rsid w:val="001F297D"/>
    <w:rsid w:val="001F2D0B"/>
    <w:rsid w:val="001F4F04"/>
    <w:rsid w:val="001F65DF"/>
    <w:rsid w:val="002118B3"/>
    <w:rsid w:val="00213C27"/>
    <w:rsid w:val="00214299"/>
    <w:rsid w:val="00220CB6"/>
    <w:rsid w:val="00222666"/>
    <w:rsid w:val="00225090"/>
    <w:rsid w:val="002250DD"/>
    <w:rsid w:val="0023437D"/>
    <w:rsid w:val="00234771"/>
    <w:rsid w:val="00242ABB"/>
    <w:rsid w:val="00251353"/>
    <w:rsid w:val="0025297A"/>
    <w:rsid w:val="00260AA9"/>
    <w:rsid w:val="00262B36"/>
    <w:rsid w:val="00265917"/>
    <w:rsid w:val="002660DB"/>
    <w:rsid w:val="0027692A"/>
    <w:rsid w:val="002861FB"/>
    <w:rsid w:val="00293EE6"/>
    <w:rsid w:val="002A5A44"/>
    <w:rsid w:val="002A68CB"/>
    <w:rsid w:val="002A6CBC"/>
    <w:rsid w:val="002A7DE3"/>
    <w:rsid w:val="002B07CA"/>
    <w:rsid w:val="002B47EE"/>
    <w:rsid w:val="002B5731"/>
    <w:rsid w:val="002C083A"/>
    <w:rsid w:val="002C0872"/>
    <w:rsid w:val="002C20BA"/>
    <w:rsid w:val="002C43B5"/>
    <w:rsid w:val="002C4704"/>
    <w:rsid w:val="002D0655"/>
    <w:rsid w:val="002D11B8"/>
    <w:rsid w:val="002D1BC6"/>
    <w:rsid w:val="002E22E8"/>
    <w:rsid w:val="002E4089"/>
    <w:rsid w:val="002F0D20"/>
    <w:rsid w:val="002F260D"/>
    <w:rsid w:val="002F3006"/>
    <w:rsid w:val="002F405C"/>
    <w:rsid w:val="002F6BB7"/>
    <w:rsid w:val="00303712"/>
    <w:rsid w:val="003211F6"/>
    <w:rsid w:val="00321D10"/>
    <w:rsid w:val="00333EFB"/>
    <w:rsid w:val="00334693"/>
    <w:rsid w:val="003354C4"/>
    <w:rsid w:val="00335CAF"/>
    <w:rsid w:val="003364D1"/>
    <w:rsid w:val="00355114"/>
    <w:rsid w:val="00365BA5"/>
    <w:rsid w:val="00367E22"/>
    <w:rsid w:val="0037200F"/>
    <w:rsid w:val="00373957"/>
    <w:rsid w:val="00381C50"/>
    <w:rsid w:val="0038302F"/>
    <w:rsid w:val="00385587"/>
    <w:rsid w:val="00392D1D"/>
    <w:rsid w:val="003A3984"/>
    <w:rsid w:val="003A5509"/>
    <w:rsid w:val="003B01EE"/>
    <w:rsid w:val="003B2C8C"/>
    <w:rsid w:val="003B345B"/>
    <w:rsid w:val="003C1387"/>
    <w:rsid w:val="003C6529"/>
    <w:rsid w:val="003D3B17"/>
    <w:rsid w:val="003D48AE"/>
    <w:rsid w:val="003D6AC2"/>
    <w:rsid w:val="003F3A70"/>
    <w:rsid w:val="003F3D4B"/>
    <w:rsid w:val="003F6FEE"/>
    <w:rsid w:val="003F775F"/>
    <w:rsid w:val="0040027C"/>
    <w:rsid w:val="00400868"/>
    <w:rsid w:val="00400F0E"/>
    <w:rsid w:val="00406AC5"/>
    <w:rsid w:val="0041230F"/>
    <w:rsid w:val="004256CB"/>
    <w:rsid w:val="00431165"/>
    <w:rsid w:val="0043154A"/>
    <w:rsid w:val="004329B7"/>
    <w:rsid w:val="00434BE2"/>
    <w:rsid w:val="0044031A"/>
    <w:rsid w:val="00441783"/>
    <w:rsid w:val="00443709"/>
    <w:rsid w:val="00447D22"/>
    <w:rsid w:val="004553F6"/>
    <w:rsid w:val="00456B74"/>
    <w:rsid w:val="00480D8B"/>
    <w:rsid w:val="00485CD7"/>
    <w:rsid w:val="00486467"/>
    <w:rsid w:val="00494C96"/>
    <w:rsid w:val="00497954"/>
    <w:rsid w:val="004A37E1"/>
    <w:rsid w:val="004B1DE2"/>
    <w:rsid w:val="004C0C2F"/>
    <w:rsid w:val="004C11B3"/>
    <w:rsid w:val="004C3CF1"/>
    <w:rsid w:val="004F04B2"/>
    <w:rsid w:val="004F64F5"/>
    <w:rsid w:val="005003D0"/>
    <w:rsid w:val="0050115D"/>
    <w:rsid w:val="005203A9"/>
    <w:rsid w:val="00521707"/>
    <w:rsid w:val="005314B4"/>
    <w:rsid w:val="0054041B"/>
    <w:rsid w:val="00550B6C"/>
    <w:rsid w:val="0055122B"/>
    <w:rsid w:val="00551351"/>
    <w:rsid w:val="00553034"/>
    <w:rsid w:val="00574663"/>
    <w:rsid w:val="00584EBC"/>
    <w:rsid w:val="00592A1B"/>
    <w:rsid w:val="00594DF5"/>
    <w:rsid w:val="005A1A6F"/>
    <w:rsid w:val="005A6AF7"/>
    <w:rsid w:val="005A717E"/>
    <w:rsid w:val="005B1FA1"/>
    <w:rsid w:val="005B3604"/>
    <w:rsid w:val="005B5EDA"/>
    <w:rsid w:val="005C685C"/>
    <w:rsid w:val="005C73BB"/>
    <w:rsid w:val="005D193F"/>
    <w:rsid w:val="005D79FE"/>
    <w:rsid w:val="005D7CDF"/>
    <w:rsid w:val="005F093B"/>
    <w:rsid w:val="005F3DC6"/>
    <w:rsid w:val="00614982"/>
    <w:rsid w:val="00626030"/>
    <w:rsid w:val="00631491"/>
    <w:rsid w:val="00643231"/>
    <w:rsid w:val="00643C3F"/>
    <w:rsid w:val="00644AD3"/>
    <w:rsid w:val="006455FA"/>
    <w:rsid w:val="00652B6E"/>
    <w:rsid w:val="006568BF"/>
    <w:rsid w:val="00660638"/>
    <w:rsid w:val="00671684"/>
    <w:rsid w:val="00671EA2"/>
    <w:rsid w:val="006802FF"/>
    <w:rsid w:val="00681ACE"/>
    <w:rsid w:val="006827E4"/>
    <w:rsid w:val="00683166"/>
    <w:rsid w:val="006864F8"/>
    <w:rsid w:val="006908C5"/>
    <w:rsid w:val="006A464A"/>
    <w:rsid w:val="006B0269"/>
    <w:rsid w:val="006B1D8D"/>
    <w:rsid w:val="006B27E3"/>
    <w:rsid w:val="006E3677"/>
    <w:rsid w:val="006F0318"/>
    <w:rsid w:val="006F6B48"/>
    <w:rsid w:val="00710022"/>
    <w:rsid w:val="00712E65"/>
    <w:rsid w:val="007150DE"/>
    <w:rsid w:val="0072141F"/>
    <w:rsid w:val="0072145E"/>
    <w:rsid w:val="00721866"/>
    <w:rsid w:val="00726E50"/>
    <w:rsid w:val="00735569"/>
    <w:rsid w:val="00752E46"/>
    <w:rsid w:val="007541C7"/>
    <w:rsid w:val="00761627"/>
    <w:rsid w:val="00770BB1"/>
    <w:rsid w:val="00772BF3"/>
    <w:rsid w:val="00773CFE"/>
    <w:rsid w:val="00780BCA"/>
    <w:rsid w:val="00790D03"/>
    <w:rsid w:val="00794751"/>
    <w:rsid w:val="00794CD9"/>
    <w:rsid w:val="007A543D"/>
    <w:rsid w:val="007A5521"/>
    <w:rsid w:val="007A6C08"/>
    <w:rsid w:val="007B234C"/>
    <w:rsid w:val="007B3DD0"/>
    <w:rsid w:val="007B60AF"/>
    <w:rsid w:val="007B65E0"/>
    <w:rsid w:val="007C02D9"/>
    <w:rsid w:val="007C0AD1"/>
    <w:rsid w:val="007C1A07"/>
    <w:rsid w:val="007D0BCD"/>
    <w:rsid w:val="007D7B20"/>
    <w:rsid w:val="007E168C"/>
    <w:rsid w:val="007F55F1"/>
    <w:rsid w:val="00800A19"/>
    <w:rsid w:val="008042E6"/>
    <w:rsid w:val="00805F04"/>
    <w:rsid w:val="00810D5A"/>
    <w:rsid w:val="008147EA"/>
    <w:rsid w:val="00814AA2"/>
    <w:rsid w:val="00821F03"/>
    <w:rsid w:val="0082394F"/>
    <w:rsid w:val="00832E01"/>
    <w:rsid w:val="008345BC"/>
    <w:rsid w:val="00853C90"/>
    <w:rsid w:val="00857030"/>
    <w:rsid w:val="008573D0"/>
    <w:rsid w:val="008575F2"/>
    <w:rsid w:val="00857F73"/>
    <w:rsid w:val="0086703A"/>
    <w:rsid w:val="0087380A"/>
    <w:rsid w:val="008756A7"/>
    <w:rsid w:val="00877E5C"/>
    <w:rsid w:val="008B0276"/>
    <w:rsid w:val="008B07D4"/>
    <w:rsid w:val="008B401A"/>
    <w:rsid w:val="008C12CC"/>
    <w:rsid w:val="008C6DF3"/>
    <w:rsid w:val="008D0052"/>
    <w:rsid w:val="008E2DD2"/>
    <w:rsid w:val="008F27D0"/>
    <w:rsid w:val="0090280C"/>
    <w:rsid w:val="00916BF5"/>
    <w:rsid w:val="009215B8"/>
    <w:rsid w:val="00923554"/>
    <w:rsid w:val="009270C4"/>
    <w:rsid w:val="00937D7D"/>
    <w:rsid w:val="00940F14"/>
    <w:rsid w:val="009432D0"/>
    <w:rsid w:val="0094707A"/>
    <w:rsid w:val="0095038C"/>
    <w:rsid w:val="00950D67"/>
    <w:rsid w:val="009527D7"/>
    <w:rsid w:val="00955512"/>
    <w:rsid w:val="00963962"/>
    <w:rsid w:val="00963D24"/>
    <w:rsid w:val="00974C41"/>
    <w:rsid w:val="00976906"/>
    <w:rsid w:val="00981D9D"/>
    <w:rsid w:val="009906D4"/>
    <w:rsid w:val="0099261B"/>
    <w:rsid w:val="00993DAD"/>
    <w:rsid w:val="009A4175"/>
    <w:rsid w:val="009A6E6D"/>
    <w:rsid w:val="009B3AB7"/>
    <w:rsid w:val="009C17FB"/>
    <w:rsid w:val="009C5258"/>
    <w:rsid w:val="009D28F3"/>
    <w:rsid w:val="009D4388"/>
    <w:rsid w:val="00A00D95"/>
    <w:rsid w:val="00A1069F"/>
    <w:rsid w:val="00A123CE"/>
    <w:rsid w:val="00A12DEC"/>
    <w:rsid w:val="00A16FBB"/>
    <w:rsid w:val="00A22D53"/>
    <w:rsid w:val="00A277BA"/>
    <w:rsid w:val="00A27BCA"/>
    <w:rsid w:val="00A30C82"/>
    <w:rsid w:val="00A40A6E"/>
    <w:rsid w:val="00A42C2A"/>
    <w:rsid w:val="00A474E5"/>
    <w:rsid w:val="00A70691"/>
    <w:rsid w:val="00A83536"/>
    <w:rsid w:val="00A842D4"/>
    <w:rsid w:val="00A93CA3"/>
    <w:rsid w:val="00AA2FAA"/>
    <w:rsid w:val="00AB3C0A"/>
    <w:rsid w:val="00AB6552"/>
    <w:rsid w:val="00AB67F8"/>
    <w:rsid w:val="00AB7727"/>
    <w:rsid w:val="00AC169B"/>
    <w:rsid w:val="00AC72C7"/>
    <w:rsid w:val="00AC73AA"/>
    <w:rsid w:val="00AE21BB"/>
    <w:rsid w:val="00AE22CC"/>
    <w:rsid w:val="00AE6B8F"/>
    <w:rsid w:val="00AE76B8"/>
    <w:rsid w:val="00AF1CD5"/>
    <w:rsid w:val="00B06133"/>
    <w:rsid w:val="00B129D8"/>
    <w:rsid w:val="00B227AE"/>
    <w:rsid w:val="00B41B03"/>
    <w:rsid w:val="00B41EC3"/>
    <w:rsid w:val="00B50301"/>
    <w:rsid w:val="00B52EAA"/>
    <w:rsid w:val="00B63F08"/>
    <w:rsid w:val="00B7529D"/>
    <w:rsid w:val="00B80591"/>
    <w:rsid w:val="00B81BAC"/>
    <w:rsid w:val="00B849E0"/>
    <w:rsid w:val="00B86C6D"/>
    <w:rsid w:val="00B90246"/>
    <w:rsid w:val="00B920E4"/>
    <w:rsid w:val="00BA4090"/>
    <w:rsid w:val="00BA79A3"/>
    <w:rsid w:val="00BB7DCE"/>
    <w:rsid w:val="00BC42E7"/>
    <w:rsid w:val="00BC6FCB"/>
    <w:rsid w:val="00BC796C"/>
    <w:rsid w:val="00BD25C0"/>
    <w:rsid w:val="00BD31AD"/>
    <w:rsid w:val="00BD501A"/>
    <w:rsid w:val="00BE37F2"/>
    <w:rsid w:val="00BF544F"/>
    <w:rsid w:val="00C049EE"/>
    <w:rsid w:val="00C10319"/>
    <w:rsid w:val="00C109FD"/>
    <w:rsid w:val="00C14C2C"/>
    <w:rsid w:val="00C229CF"/>
    <w:rsid w:val="00C409C2"/>
    <w:rsid w:val="00C4630C"/>
    <w:rsid w:val="00C6242F"/>
    <w:rsid w:val="00C64262"/>
    <w:rsid w:val="00C74E6F"/>
    <w:rsid w:val="00C81F48"/>
    <w:rsid w:val="00C8348A"/>
    <w:rsid w:val="00C85A1D"/>
    <w:rsid w:val="00C91E6C"/>
    <w:rsid w:val="00C92F89"/>
    <w:rsid w:val="00CC39DC"/>
    <w:rsid w:val="00CC50C5"/>
    <w:rsid w:val="00CD76CF"/>
    <w:rsid w:val="00CE05BE"/>
    <w:rsid w:val="00CE1FF8"/>
    <w:rsid w:val="00CE4890"/>
    <w:rsid w:val="00CE60E3"/>
    <w:rsid w:val="00CE6FD2"/>
    <w:rsid w:val="00D0182E"/>
    <w:rsid w:val="00D0265B"/>
    <w:rsid w:val="00D04C45"/>
    <w:rsid w:val="00D133B4"/>
    <w:rsid w:val="00D24A57"/>
    <w:rsid w:val="00D27E6F"/>
    <w:rsid w:val="00D303C7"/>
    <w:rsid w:val="00D31913"/>
    <w:rsid w:val="00D357B1"/>
    <w:rsid w:val="00D41C91"/>
    <w:rsid w:val="00D462CE"/>
    <w:rsid w:val="00D51B5B"/>
    <w:rsid w:val="00D53526"/>
    <w:rsid w:val="00D554E6"/>
    <w:rsid w:val="00D63BD2"/>
    <w:rsid w:val="00D6606F"/>
    <w:rsid w:val="00D70628"/>
    <w:rsid w:val="00D90F88"/>
    <w:rsid w:val="00DA7643"/>
    <w:rsid w:val="00DB029C"/>
    <w:rsid w:val="00DB5681"/>
    <w:rsid w:val="00DC0F2E"/>
    <w:rsid w:val="00DC162E"/>
    <w:rsid w:val="00DC4A39"/>
    <w:rsid w:val="00DC5FFC"/>
    <w:rsid w:val="00DD6139"/>
    <w:rsid w:val="00DE0A21"/>
    <w:rsid w:val="00DE4586"/>
    <w:rsid w:val="00DE6B0B"/>
    <w:rsid w:val="00DF19A2"/>
    <w:rsid w:val="00DF50A9"/>
    <w:rsid w:val="00DF6796"/>
    <w:rsid w:val="00E02446"/>
    <w:rsid w:val="00E0341E"/>
    <w:rsid w:val="00E125C6"/>
    <w:rsid w:val="00E15639"/>
    <w:rsid w:val="00E173B5"/>
    <w:rsid w:val="00E21B14"/>
    <w:rsid w:val="00E24C57"/>
    <w:rsid w:val="00E457C3"/>
    <w:rsid w:val="00E45BDA"/>
    <w:rsid w:val="00E46D96"/>
    <w:rsid w:val="00E475F9"/>
    <w:rsid w:val="00E50974"/>
    <w:rsid w:val="00E54322"/>
    <w:rsid w:val="00E73356"/>
    <w:rsid w:val="00E86611"/>
    <w:rsid w:val="00E940BF"/>
    <w:rsid w:val="00EA0E9C"/>
    <w:rsid w:val="00EA643A"/>
    <w:rsid w:val="00EB44C5"/>
    <w:rsid w:val="00ED1CFB"/>
    <w:rsid w:val="00EE34E3"/>
    <w:rsid w:val="00F011AF"/>
    <w:rsid w:val="00F01885"/>
    <w:rsid w:val="00F06211"/>
    <w:rsid w:val="00F11425"/>
    <w:rsid w:val="00F168A4"/>
    <w:rsid w:val="00F17680"/>
    <w:rsid w:val="00F234AF"/>
    <w:rsid w:val="00F2380B"/>
    <w:rsid w:val="00F23F48"/>
    <w:rsid w:val="00F24713"/>
    <w:rsid w:val="00F30476"/>
    <w:rsid w:val="00F36807"/>
    <w:rsid w:val="00F40699"/>
    <w:rsid w:val="00F41A4A"/>
    <w:rsid w:val="00F433D6"/>
    <w:rsid w:val="00F43459"/>
    <w:rsid w:val="00F61D34"/>
    <w:rsid w:val="00F63D17"/>
    <w:rsid w:val="00F63FDA"/>
    <w:rsid w:val="00F66E3A"/>
    <w:rsid w:val="00F71266"/>
    <w:rsid w:val="00F76BBD"/>
    <w:rsid w:val="00F96689"/>
    <w:rsid w:val="00F96BF7"/>
    <w:rsid w:val="00FA128F"/>
    <w:rsid w:val="00FB052A"/>
    <w:rsid w:val="00FB5864"/>
    <w:rsid w:val="00FB5B72"/>
    <w:rsid w:val="00FD6043"/>
    <w:rsid w:val="00FE196D"/>
    <w:rsid w:val="00FF2641"/>
    <w:rsid w:val="00FF2F66"/>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5CAD6"/>
  <w15:docId w15:val="{202B9040-E345-41A2-A4CE-D1B75601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link w:val="Heading1Char"/>
    <w:uiPriority w:val="9"/>
    <w:qFormat/>
    <w:rsid w:val="00CE60E3"/>
    <w:pPr>
      <w:widowControl w:val="0"/>
      <w:autoSpaceDE w:val="0"/>
      <w:autoSpaceDN w:val="0"/>
      <w:ind w:left="809"/>
      <w:outlineLvl w:val="0"/>
    </w:pPr>
    <w:rPr>
      <w:rFonts w:eastAsia="Arial" w:cs="Arial"/>
      <w:b/>
      <w:bCs/>
      <w:szCs w:val="20"/>
      <w:lang w:val="fr-FR"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styleId="ListParagraph">
    <w:name w:val="List Paragraph"/>
    <w:basedOn w:val="Normal"/>
    <w:uiPriority w:val="1"/>
    <w:qFormat/>
    <w:rsid w:val="00DD6139"/>
    <w:pPr>
      <w:ind w:left="720"/>
      <w:contextualSpacing/>
    </w:pPr>
  </w:style>
  <w:style w:type="paragraph" w:styleId="Revision">
    <w:name w:val="Revision"/>
    <w:hidden/>
    <w:uiPriority w:val="99"/>
    <w:semiHidden/>
    <w:rsid w:val="00431165"/>
    <w:rPr>
      <w:rFonts w:ascii="Arial" w:hAnsi="Arial"/>
      <w:szCs w:val="22"/>
      <w:lang w:eastAsia="en-US"/>
    </w:rPr>
  </w:style>
  <w:style w:type="character" w:styleId="UnresolvedMention">
    <w:name w:val="Unresolved Mention"/>
    <w:basedOn w:val="DefaultParagraphFont"/>
    <w:uiPriority w:val="99"/>
    <w:semiHidden/>
    <w:unhideWhenUsed/>
    <w:rsid w:val="00431165"/>
    <w:rPr>
      <w:color w:val="605E5C"/>
      <w:shd w:val="clear" w:color="auto" w:fill="E1DFDD"/>
    </w:rPr>
  </w:style>
  <w:style w:type="character" w:styleId="FollowedHyperlink">
    <w:name w:val="FollowedHyperlink"/>
    <w:basedOn w:val="DefaultParagraphFont"/>
    <w:uiPriority w:val="99"/>
    <w:semiHidden/>
    <w:unhideWhenUsed/>
    <w:rsid w:val="00857030"/>
    <w:rPr>
      <w:color w:val="800080" w:themeColor="followedHyperlink"/>
      <w:u w:val="single"/>
    </w:rPr>
  </w:style>
  <w:style w:type="paragraph" w:customStyle="1" w:styleId="Default">
    <w:name w:val="Default"/>
    <w:rsid w:val="005314B4"/>
    <w:pPr>
      <w:autoSpaceDE w:val="0"/>
      <w:autoSpaceDN w:val="0"/>
      <w:adjustRightInd w:val="0"/>
    </w:pPr>
    <w:rPr>
      <w:rFonts w:ascii="Arial" w:hAnsi="Arial" w:cs="Arial"/>
      <w:color w:val="000000"/>
      <w:sz w:val="24"/>
      <w:szCs w:val="24"/>
    </w:rPr>
  </w:style>
  <w:style w:type="numbering" w:customStyle="1" w:styleId="CurrentList1">
    <w:name w:val="Current List1"/>
    <w:uiPriority w:val="99"/>
    <w:rsid w:val="00E73356"/>
    <w:pPr>
      <w:numPr>
        <w:numId w:val="1"/>
      </w:numPr>
    </w:pPr>
  </w:style>
  <w:style w:type="numbering" w:customStyle="1" w:styleId="CurrentList2">
    <w:name w:val="Current List2"/>
    <w:uiPriority w:val="99"/>
    <w:rsid w:val="00E73356"/>
    <w:pPr>
      <w:numPr>
        <w:numId w:val="2"/>
      </w:numPr>
    </w:pPr>
  </w:style>
  <w:style w:type="numbering" w:customStyle="1" w:styleId="CurrentList3">
    <w:name w:val="Current List3"/>
    <w:uiPriority w:val="99"/>
    <w:rsid w:val="00E73356"/>
    <w:pPr>
      <w:numPr>
        <w:numId w:val="3"/>
      </w:numPr>
    </w:pPr>
  </w:style>
  <w:style w:type="numbering" w:customStyle="1" w:styleId="CurrentList4">
    <w:name w:val="Current List4"/>
    <w:uiPriority w:val="99"/>
    <w:rsid w:val="003C6529"/>
    <w:pPr>
      <w:numPr>
        <w:numId w:val="4"/>
      </w:numPr>
    </w:pPr>
  </w:style>
  <w:style w:type="numbering" w:customStyle="1" w:styleId="CurrentList5">
    <w:name w:val="Current List5"/>
    <w:uiPriority w:val="99"/>
    <w:rsid w:val="003C6529"/>
    <w:pPr>
      <w:numPr>
        <w:numId w:val="5"/>
      </w:numPr>
    </w:pPr>
  </w:style>
  <w:style w:type="numbering" w:customStyle="1" w:styleId="CurrentList6">
    <w:name w:val="Current List6"/>
    <w:uiPriority w:val="99"/>
    <w:rsid w:val="003C6529"/>
    <w:pPr>
      <w:numPr>
        <w:numId w:val="6"/>
      </w:numPr>
    </w:pPr>
  </w:style>
  <w:style w:type="numbering" w:customStyle="1" w:styleId="CurrentList7">
    <w:name w:val="Current List7"/>
    <w:uiPriority w:val="99"/>
    <w:rsid w:val="003C6529"/>
    <w:pPr>
      <w:numPr>
        <w:numId w:val="7"/>
      </w:numPr>
    </w:pPr>
  </w:style>
  <w:style w:type="numbering" w:customStyle="1" w:styleId="CurrentList8">
    <w:name w:val="Current List8"/>
    <w:uiPriority w:val="99"/>
    <w:rsid w:val="00485CD7"/>
    <w:pPr>
      <w:numPr>
        <w:numId w:val="8"/>
      </w:numPr>
    </w:pPr>
  </w:style>
  <w:style w:type="character" w:customStyle="1" w:styleId="cf01">
    <w:name w:val="cf01"/>
    <w:basedOn w:val="DefaultParagraphFont"/>
    <w:rsid w:val="00F011AF"/>
    <w:rPr>
      <w:rFonts w:ascii="Segoe UI" w:hAnsi="Segoe UI" w:cs="Segoe UI" w:hint="default"/>
      <w:color w:val="FF0000"/>
      <w:sz w:val="18"/>
      <w:szCs w:val="18"/>
    </w:rPr>
  </w:style>
  <w:style w:type="paragraph" w:customStyle="1" w:styleId="pf0">
    <w:name w:val="pf0"/>
    <w:basedOn w:val="Normal"/>
    <w:rsid w:val="00F011AF"/>
    <w:pPr>
      <w:spacing w:before="100" w:beforeAutospacing="1" w:after="100" w:afterAutospacing="1"/>
    </w:pPr>
    <w:rPr>
      <w:rFonts w:ascii="Times New Roman" w:eastAsia="Times New Roman" w:hAnsi="Times New Roman"/>
      <w:sz w:val="24"/>
      <w:szCs w:val="24"/>
      <w:lang w:val="fr-FR" w:eastAsia="fr-FR"/>
    </w:rPr>
  </w:style>
  <w:style w:type="character" w:customStyle="1" w:styleId="Heading1Char">
    <w:name w:val="Heading 1 Char"/>
    <w:basedOn w:val="DefaultParagraphFont"/>
    <w:link w:val="Heading1"/>
    <w:uiPriority w:val="9"/>
    <w:rsid w:val="00CE60E3"/>
    <w:rPr>
      <w:rFonts w:ascii="Arial" w:eastAsia="Arial" w:hAnsi="Arial" w:cs="Arial"/>
      <w:b/>
      <w:bCs/>
      <w:lang w:val="fr-FR" w:eastAsia="fr-FR" w:bidi="fr-FR"/>
    </w:rPr>
  </w:style>
  <w:style w:type="paragraph" w:styleId="BodyText">
    <w:name w:val="Body Text"/>
    <w:basedOn w:val="Normal"/>
    <w:link w:val="BodyTextChar"/>
    <w:uiPriority w:val="1"/>
    <w:qFormat/>
    <w:rsid w:val="00CE60E3"/>
    <w:pPr>
      <w:widowControl w:val="0"/>
      <w:autoSpaceDE w:val="0"/>
      <w:autoSpaceDN w:val="0"/>
    </w:pPr>
    <w:rPr>
      <w:rFonts w:eastAsia="Arial" w:cs="Arial"/>
      <w:szCs w:val="20"/>
      <w:lang w:val="fr-FR" w:eastAsia="fr-FR" w:bidi="fr-FR"/>
    </w:rPr>
  </w:style>
  <w:style w:type="character" w:customStyle="1" w:styleId="BodyTextChar">
    <w:name w:val="Body Text Char"/>
    <w:basedOn w:val="DefaultParagraphFont"/>
    <w:link w:val="BodyText"/>
    <w:uiPriority w:val="1"/>
    <w:rsid w:val="00CE60E3"/>
    <w:rPr>
      <w:rFonts w:ascii="Arial" w:eastAsia="Arial" w:hAnsi="Arial" w:cs="Arial"/>
      <w:lang w:val="fr-FR" w:eastAsia="fr-FR" w:bidi="fr-FR"/>
    </w:rPr>
  </w:style>
  <w:style w:type="paragraph" w:customStyle="1" w:styleId="TableParagraph">
    <w:name w:val="Table Paragraph"/>
    <w:basedOn w:val="Normal"/>
    <w:uiPriority w:val="1"/>
    <w:qFormat/>
    <w:rsid w:val="00CE60E3"/>
    <w:pPr>
      <w:widowControl w:val="0"/>
      <w:autoSpaceDE w:val="0"/>
      <w:autoSpaceDN w:val="0"/>
      <w:ind w:left="31"/>
    </w:pPr>
    <w:rPr>
      <w:rFonts w:eastAsia="Arial" w:cs="Arial"/>
      <w:sz w:val="22"/>
      <w:lang w:val="fr-FR" w:eastAsia="fr-FR" w:bidi="fr-FR"/>
    </w:rPr>
  </w:style>
  <w:style w:type="paragraph" w:styleId="NoSpacing">
    <w:name w:val="No Spacing"/>
    <w:uiPriority w:val="1"/>
    <w:qFormat/>
    <w:rsid w:val="00CE60E3"/>
    <w:pPr>
      <w:widowControl w:val="0"/>
      <w:autoSpaceDE w:val="0"/>
      <w:autoSpaceDN w:val="0"/>
    </w:pPr>
    <w:rPr>
      <w:rFonts w:ascii="Arial" w:eastAsia="Arial" w:hAnsi="Arial" w:cs="Arial"/>
      <w:sz w:val="22"/>
      <w:szCs w:val="22"/>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36447">
      <w:bodyDiv w:val="1"/>
      <w:marLeft w:val="0"/>
      <w:marRight w:val="0"/>
      <w:marTop w:val="0"/>
      <w:marBottom w:val="0"/>
      <w:divBdr>
        <w:top w:val="none" w:sz="0" w:space="0" w:color="auto"/>
        <w:left w:val="none" w:sz="0" w:space="0" w:color="auto"/>
        <w:bottom w:val="none" w:sz="0" w:space="0" w:color="auto"/>
        <w:right w:val="none" w:sz="0" w:space="0" w:color="auto"/>
      </w:divBdr>
    </w:div>
    <w:div w:id="543520285">
      <w:bodyDiv w:val="1"/>
      <w:marLeft w:val="0"/>
      <w:marRight w:val="0"/>
      <w:marTop w:val="0"/>
      <w:marBottom w:val="0"/>
      <w:divBdr>
        <w:top w:val="none" w:sz="0" w:space="0" w:color="auto"/>
        <w:left w:val="none" w:sz="0" w:space="0" w:color="auto"/>
        <w:bottom w:val="none" w:sz="0" w:space="0" w:color="auto"/>
        <w:right w:val="none" w:sz="0" w:space="0" w:color="auto"/>
      </w:divBdr>
    </w:div>
    <w:div w:id="1925337400">
      <w:bodyDiv w:val="1"/>
      <w:marLeft w:val="0"/>
      <w:marRight w:val="0"/>
      <w:marTop w:val="0"/>
      <w:marBottom w:val="0"/>
      <w:divBdr>
        <w:top w:val="none" w:sz="0" w:space="0" w:color="auto"/>
        <w:left w:val="none" w:sz="0" w:space="0" w:color="auto"/>
        <w:bottom w:val="none" w:sz="0" w:space="0" w:color="auto"/>
        <w:right w:val="none" w:sz="0" w:space="0" w:color="auto"/>
      </w:divBdr>
    </w:div>
    <w:div w:id="209343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dson_t\ND%20Office%20Echo\DE-RNFVGD8I\E_CMAbridgedReport-Template-2024%202775-7137-7673%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9F22C9C-A26D-427A-84F6-72BA03D3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E_CMAbridgedReport-Template-2024 2775-7137-7673 v.1</Template>
  <TotalTime>40</TotalTime>
  <Pages>11</Pages>
  <Words>4859</Words>
  <Characters>26726</Characters>
  <Application>Microsoft Office Word</Application>
  <DocSecurity>0</DocSecurity>
  <Lines>222</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31522</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Tracey</dc:creator>
  <cp:lastModifiedBy>EVANS Elizabeth</cp:lastModifiedBy>
  <cp:revision>15</cp:revision>
  <cp:lastPrinted>2016-03-16T18:37:00Z</cp:lastPrinted>
  <dcterms:created xsi:type="dcterms:W3CDTF">2025-01-28T15:29:00Z</dcterms:created>
  <dcterms:modified xsi:type="dcterms:W3CDTF">2025-01-31T16:35:00Z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ddf319-7d2e-4b9a-b236-a4013e1138e2_Enabled">
    <vt:lpwstr>true</vt:lpwstr>
  </property>
  <property fmtid="{D5CDD505-2E9C-101B-9397-08002B2CF9AE}" pid="3" name="MSIP_Label_a4ddf319-7d2e-4b9a-b236-a4013e1138e2_SetDate">
    <vt:lpwstr>2024-12-02T12:46:18Z</vt:lpwstr>
  </property>
  <property fmtid="{D5CDD505-2E9C-101B-9397-08002B2CF9AE}" pid="4" name="MSIP_Label_a4ddf319-7d2e-4b9a-b236-a4013e1138e2_Method">
    <vt:lpwstr>Standard</vt:lpwstr>
  </property>
  <property fmtid="{D5CDD505-2E9C-101B-9397-08002B2CF9AE}" pid="5" name="MSIP_Label_a4ddf319-7d2e-4b9a-b236-a4013e1138e2_Name">
    <vt:lpwstr>Intern (KLD)</vt:lpwstr>
  </property>
  <property fmtid="{D5CDD505-2E9C-101B-9397-08002B2CF9AE}" pid="6" name="MSIP_Label_a4ddf319-7d2e-4b9a-b236-a4013e1138e2_SiteId">
    <vt:lpwstr>f696e186-1c3b-44cd-bf76-5ace0e7007bd</vt:lpwstr>
  </property>
  <property fmtid="{D5CDD505-2E9C-101B-9397-08002B2CF9AE}" pid="7" name="MSIP_Label_a4ddf319-7d2e-4b9a-b236-a4013e1138e2_ActionId">
    <vt:lpwstr>c8c09a8e-c073-49fc-ad76-221a4068ed01</vt:lpwstr>
  </property>
  <property fmtid="{D5CDD505-2E9C-101B-9397-08002B2CF9AE}" pid="8" name="MSIP_Label_a4ddf319-7d2e-4b9a-b236-a4013e1138e2_ContentBits">
    <vt:lpwstr>0</vt:lpwstr>
  </property>
</Properties>
</file>